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0B" w:rsidRPr="000D3A35" w:rsidRDefault="005B700B" w:rsidP="008D331D">
      <w:pPr>
        <w:ind w:left="3969" w:hanging="396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3A35">
        <w:rPr>
          <w:rFonts w:ascii="Times New Roman" w:hAnsi="Times New Roman"/>
          <w:b/>
          <w:sz w:val="24"/>
          <w:szCs w:val="24"/>
          <w:u w:val="single"/>
        </w:rPr>
        <w:t>NOTAS EXPLICATIVAS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1ECF">
        <w:rPr>
          <w:rFonts w:ascii="Times New Roman" w:hAnsi="Times New Roman"/>
          <w:b/>
          <w:sz w:val="24"/>
          <w:szCs w:val="24"/>
          <w:u w:val="single"/>
        </w:rPr>
        <w:t>D</w:t>
      </w:r>
      <w:r w:rsidRPr="000D3A35">
        <w:rPr>
          <w:rFonts w:ascii="Times New Roman" w:hAnsi="Times New Roman"/>
          <w:b/>
          <w:sz w:val="24"/>
          <w:szCs w:val="24"/>
          <w:u w:val="single"/>
        </w:rPr>
        <w:t xml:space="preserve">AS DEMONSTRAÇÕES </w:t>
      </w:r>
      <w:proofErr w:type="gramStart"/>
      <w:r w:rsidRPr="000D3A35">
        <w:rPr>
          <w:rFonts w:ascii="Times New Roman" w:hAnsi="Times New Roman"/>
          <w:b/>
          <w:sz w:val="24"/>
          <w:szCs w:val="24"/>
          <w:u w:val="single"/>
        </w:rPr>
        <w:t xml:space="preserve">CONTÁBEIS </w:t>
      </w:r>
      <w:r w:rsidR="008D331D">
        <w:rPr>
          <w:rFonts w:ascii="Times New Roman" w:hAnsi="Times New Roman"/>
          <w:b/>
          <w:sz w:val="24"/>
          <w:szCs w:val="24"/>
          <w:u w:val="single"/>
        </w:rPr>
        <w:t xml:space="preserve"> DO</w:t>
      </w:r>
      <w:proofErr w:type="gramEnd"/>
      <w:r w:rsidR="008D331D">
        <w:rPr>
          <w:rFonts w:ascii="Times New Roman" w:hAnsi="Times New Roman"/>
          <w:b/>
          <w:sz w:val="24"/>
          <w:szCs w:val="24"/>
          <w:u w:val="single"/>
        </w:rPr>
        <w:t xml:space="preserve"> SETOR PÚBLICO – EXERCÍCIO DE 201</w:t>
      </w:r>
      <w:r w:rsidR="00021A70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5B700B" w:rsidRPr="000D3A35" w:rsidRDefault="005B700B" w:rsidP="005B700B">
      <w:pPr>
        <w:ind w:left="1985" w:hanging="1985"/>
        <w:rPr>
          <w:rFonts w:ascii="Times New Roman" w:hAnsi="Times New Roman"/>
          <w:b/>
          <w:sz w:val="24"/>
          <w:szCs w:val="24"/>
          <w:u w:val="single"/>
        </w:rPr>
      </w:pPr>
    </w:p>
    <w:p w:rsidR="005B700B" w:rsidRPr="000D3A35" w:rsidRDefault="005B700B" w:rsidP="00A71EF9">
      <w:pPr>
        <w:ind w:left="1985" w:hanging="1985"/>
        <w:rPr>
          <w:rFonts w:ascii="Times New Roman" w:hAnsi="Times New Roman"/>
          <w:b/>
          <w:sz w:val="24"/>
          <w:szCs w:val="24"/>
        </w:rPr>
      </w:pPr>
      <w:r w:rsidRPr="000D3A35">
        <w:rPr>
          <w:rFonts w:ascii="Times New Roman" w:hAnsi="Times New Roman"/>
          <w:b/>
          <w:sz w:val="24"/>
          <w:szCs w:val="24"/>
        </w:rPr>
        <w:t xml:space="preserve">1.  </w:t>
      </w:r>
      <w:r w:rsidR="00021A70">
        <w:rPr>
          <w:rFonts w:ascii="Times New Roman" w:hAnsi="Times New Roman"/>
          <w:b/>
          <w:sz w:val="24"/>
          <w:szCs w:val="24"/>
        </w:rPr>
        <w:t>Informações Gerais</w:t>
      </w:r>
    </w:p>
    <w:p w:rsidR="00A71EF9" w:rsidRDefault="00A71EF9" w:rsidP="00A71EF9">
      <w:pPr>
        <w:jc w:val="both"/>
        <w:rPr>
          <w:rFonts w:ascii="Times New Roman" w:hAnsi="Times New Roman"/>
          <w:sz w:val="24"/>
          <w:szCs w:val="24"/>
        </w:rPr>
      </w:pPr>
    </w:p>
    <w:p w:rsidR="003E0B3C" w:rsidRPr="003E0B3C" w:rsidRDefault="003E0B3C" w:rsidP="003E0B3C">
      <w:pPr>
        <w:jc w:val="both"/>
        <w:rPr>
          <w:rFonts w:ascii="Times New Roman" w:hAnsi="Times New Roman"/>
          <w:sz w:val="24"/>
          <w:szCs w:val="24"/>
        </w:rPr>
      </w:pPr>
      <w:r w:rsidRPr="003E0B3C">
        <w:rPr>
          <w:rFonts w:ascii="Times New Roman" w:hAnsi="Times New Roman"/>
          <w:sz w:val="24"/>
          <w:szCs w:val="24"/>
        </w:rPr>
        <w:t xml:space="preserve">O Poder Executivo Municipal de Pomerode, representado pelo senhor Prefeito, </w:t>
      </w:r>
      <w:proofErr w:type="spellStart"/>
      <w:r w:rsidRPr="003E0B3C">
        <w:rPr>
          <w:rFonts w:ascii="Times New Roman" w:hAnsi="Times New Roman"/>
          <w:sz w:val="24"/>
          <w:szCs w:val="24"/>
        </w:rPr>
        <w:t>Ércio</w:t>
      </w:r>
      <w:proofErr w:type="spellEnd"/>
      <w:r w:rsidRPr="003E0B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B3C">
        <w:rPr>
          <w:rFonts w:ascii="Times New Roman" w:hAnsi="Times New Roman"/>
          <w:sz w:val="24"/>
          <w:szCs w:val="24"/>
        </w:rPr>
        <w:t>Kriek</w:t>
      </w:r>
      <w:proofErr w:type="spellEnd"/>
      <w:r w:rsidRPr="003E0B3C">
        <w:rPr>
          <w:rFonts w:ascii="Times New Roman" w:hAnsi="Times New Roman"/>
          <w:sz w:val="24"/>
          <w:szCs w:val="24"/>
        </w:rPr>
        <w:t xml:space="preserve"> e pela senhora Vice-Prefeita, Gladys </w:t>
      </w:r>
      <w:proofErr w:type="spellStart"/>
      <w:r w:rsidRPr="003E0B3C">
        <w:rPr>
          <w:rFonts w:ascii="Times New Roman" w:hAnsi="Times New Roman"/>
          <w:sz w:val="24"/>
          <w:szCs w:val="24"/>
        </w:rPr>
        <w:t>Sievert</w:t>
      </w:r>
      <w:proofErr w:type="spellEnd"/>
      <w:r w:rsidRPr="003E0B3C">
        <w:rPr>
          <w:rFonts w:ascii="Times New Roman" w:hAnsi="Times New Roman"/>
          <w:sz w:val="24"/>
          <w:szCs w:val="24"/>
        </w:rPr>
        <w:t xml:space="preserve">, está localizado na rua </w:t>
      </w:r>
      <w:r w:rsidR="003854AB">
        <w:rPr>
          <w:rFonts w:ascii="Times New Roman" w:hAnsi="Times New Roman"/>
          <w:sz w:val="24"/>
          <w:szCs w:val="24"/>
        </w:rPr>
        <w:t>15</w:t>
      </w:r>
      <w:r w:rsidRPr="003E0B3C">
        <w:rPr>
          <w:rFonts w:ascii="Times New Roman" w:hAnsi="Times New Roman"/>
          <w:sz w:val="24"/>
          <w:szCs w:val="24"/>
        </w:rPr>
        <w:t xml:space="preserve"> de Novembro, 525, Centro, Estado de Santa Catarina, inscrito no CNPJ </w:t>
      </w:r>
      <w:proofErr w:type="gramStart"/>
      <w:r w:rsidRPr="003E0B3C">
        <w:rPr>
          <w:rFonts w:ascii="Times New Roman" w:hAnsi="Times New Roman"/>
          <w:sz w:val="24"/>
          <w:szCs w:val="24"/>
        </w:rPr>
        <w:t>n.º</w:t>
      </w:r>
      <w:proofErr w:type="gramEnd"/>
      <w:r w:rsidRPr="003E0B3C">
        <w:rPr>
          <w:rFonts w:ascii="Times New Roman" w:hAnsi="Times New Roman"/>
          <w:sz w:val="24"/>
          <w:szCs w:val="24"/>
        </w:rPr>
        <w:t>83.102.251/000104.</w:t>
      </w:r>
    </w:p>
    <w:p w:rsidR="003E0B3C" w:rsidRDefault="003E0B3C" w:rsidP="003E0B3C">
      <w:pPr>
        <w:jc w:val="both"/>
        <w:rPr>
          <w:rFonts w:ascii="Times New Roman" w:hAnsi="Times New Roman"/>
          <w:sz w:val="24"/>
          <w:szCs w:val="24"/>
        </w:rPr>
      </w:pPr>
    </w:p>
    <w:p w:rsidR="003E0B3C" w:rsidRPr="003E0B3C" w:rsidRDefault="003E0B3C" w:rsidP="003E0B3C">
      <w:pPr>
        <w:jc w:val="both"/>
        <w:rPr>
          <w:rFonts w:ascii="Times New Roman" w:hAnsi="Times New Roman"/>
          <w:sz w:val="24"/>
          <w:szCs w:val="24"/>
        </w:rPr>
      </w:pPr>
      <w:r w:rsidRPr="003E0B3C">
        <w:rPr>
          <w:rFonts w:ascii="Times New Roman" w:hAnsi="Times New Roman"/>
          <w:sz w:val="24"/>
          <w:szCs w:val="24"/>
        </w:rPr>
        <w:t xml:space="preserve">O Poder Legislativo Municipal de Pomerode, representado no exercício de 2017, pelo senhor Rafael </w:t>
      </w:r>
      <w:proofErr w:type="spellStart"/>
      <w:r w:rsidRPr="003E0B3C">
        <w:rPr>
          <w:rFonts w:ascii="Times New Roman" w:hAnsi="Times New Roman"/>
          <w:sz w:val="24"/>
          <w:szCs w:val="24"/>
        </w:rPr>
        <w:t>Pfuetzenreiter</w:t>
      </w:r>
      <w:proofErr w:type="spellEnd"/>
      <w:r w:rsidRPr="003E0B3C">
        <w:rPr>
          <w:rFonts w:ascii="Times New Roman" w:hAnsi="Times New Roman"/>
          <w:sz w:val="24"/>
          <w:szCs w:val="24"/>
        </w:rPr>
        <w:t>, está localizado na rua 21 de janeiro, nº 1777, centro, Estado de Santa Catarina, inscrito no CNPJ nº 83.551.895/0001-80.</w:t>
      </w:r>
    </w:p>
    <w:p w:rsidR="003E0B3C" w:rsidRDefault="003E0B3C" w:rsidP="003E0B3C">
      <w:pPr>
        <w:jc w:val="both"/>
        <w:rPr>
          <w:rFonts w:ascii="Times New Roman" w:hAnsi="Times New Roman"/>
          <w:sz w:val="24"/>
          <w:szCs w:val="24"/>
        </w:rPr>
      </w:pPr>
    </w:p>
    <w:p w:rsidR="003E0B3C" w:rsidRPr="003E0B3C" w:rsidRDefault="003E0B3C" w:rsidP="003E0B3C">
      <w:pPr>
        <w:jc w:val="both"/>
        <w:rPr>
          <w:rFonts w:ascii="Times New Roman" w:hAnsi="Times New Roman"/>
          <w:sz w:val="24"/>
          <w:szCs w:val="24"/>
        </w:rPr>
      </w:pPr>
      <w:r w:rsidRPr="003E0B3C">
        <w:rPr>
          <w:rFonts w:ascii="Times New Roman" w:hAnsi="Times New Roman"/>
          <w:sz w:val="24"/>
          <w:szCs w:val="24"/>
        </w:rPr>
        <w:t>Os Balanços e D</w:t>
      </w:r>
      <w:r w:rsidR="00DC59E9">
        <w:rPr>
          <w:rFonts w:ascii="Times New Roman" w:hAnsi="Times New Roman"/>
          <w:sz w:val="24"/>
          <w:szCs w:val="24"/>
        </w:rPr>
        <w:t xml:space="preserve">emonstrativos apresentados </w:t>
      </w:r>
      <w:proofErr w:type="gramStart"/>
      <w:r w:rsidR="00DC59E9">
        <w:rPr>
          <w:rFonts w:ascii="Times New Roman" w:hAnsi="Times New Roman"/>
          <w:sz w:val="24"/>
          <w:szCs w:val="24"/>
        </w:rPr>
        <w:t xml:space="preserve">são </w:t>
      </w:r>
      <w:r w:rsidR="00DC59E9" w:rsidRPr="00DC59E9">
        <w:rPr>
          <w:rFonts w:ascii="Times New Roman" w:hAnsi="Times New Roman"/>
          <w:b/>
          <w:sz w:val="24"/>
          <w:szCs w:val="24"/>
        </w:rPr>
        <w:t>C</w:t>
      </w:r>
      <w:r w:rsidRPr="00DC59E9">
        <w:rPr>
          <w:rFonts w:ascii="Times New Roman" w:hAnsi="Times New Roman"/>
          <w:b/>
          <w:sz w:val="24"/>
          <w:szCs w:val="24"/>
        </w:rPr>
        <w:t>onsolidados</w:t>
      </w:r>
      <w:proofErr w:type="gramEnd"/>
      <w:r w:rsidRPr="003E0B3C">
        <w:rPr>
          <w:rFonts w:ascii="Times New Roman" w:hAnsi="Times New Roman"/>
          <w:sz w:val="24"/>
          <w:szCs w:val="24"/>
        </w:rPr>
        <w:t xml:space="preserve">, compreendendo as seguintes </w:t>
      </w:r>
      <w:r w:rsidR="00D728D8">
        <w:rPr>
          <w:rFonts w:ascii="Times New Roman" w:hAnsi="Times New Roman"/>
          <w:sz w:val="24"/>
          <w:szCs w:val="24"/>
        </w:rPr>
        <w:t>Unidades Gestoras</w:t>
      </w:r>
      <w:r w:rsidRPr="003E0B3C">
        <w:rPr>
          <w:rFonts w:ascii="Times New Roman" w:hAnsi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6"/>
        <w:gridCol w:w="7353"/>
      </w:tblGrid>
      <w:tr w:rsidR="003E0B3C" w:rsidTr="00D76952">
        <w:tc>
          <w:tcPr>
            <w:tcW w:w="2283" w:type="dxa"/>
          </w:tcPr>
          <w:p w:rsidR="003E0B3C" w:rsidRPr="00036702" w:rsidRDefault="003E0B3C" w:rsidP="000367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702">
              <w:rPr>
                <w:rFonts w:ascii="Times New Roman" w:hAnsi="Times New Roman"/>
                <w:b/>
                <w:sz w:val="24"/>
                <w:szCs w:val="24"/>
              </w:rPr>
              <w:t>CNPJ</w:t>
            </w:r>
          </w:p>
        </w:tc>
        <w:tc>
          <w:tcPr>
            <w:tcW w:w="7464" w:type="dxa"/>
          </w:tcPr>
          <w:p w:rsidR="003E0B3C" w:rsidRPr="00036702" w:rsidRDefault="00036702" w:rsidP="000367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702">
              <w:rPr>
                <w:rFonts w:ascii="Times New Roman" w:hAnsi="Times New Roman"/>
                <w:b/>
                <w:sz w:val="24"/>
                <w:szCs w:val="24"/>
              </w:rPr>
              <w:t>Unidades Gestoras</w:t>
            </w:r>
          </w:p>
        </w:tc>
      </w:tr>
      <w:tr w:rsidR="003E0B3C" w:rsidTr="00D76952">
        <w:tc>
          <w:tcPr>
            <w:tcW w:w="2283" w:type="dxa"/>
          </w:tcPr>
          <w:p w:rsidR="003E0B3C" w:rsidRDefault="006611BE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69">
              <w:rPr>
                <w:rFonts w:ascii="Times New Roman" w:hAnsi="Times New Roman"/>
                <w:sz w:val="24"/>
                <w:szCs w:val="24"/>
              </w:rPr>
              <w:t>83.102.251/0001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64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464" w:type="dxa"/>
          </w:tcPr>
          <w:p w:rsidR="003E0B3C" w:rsidRDefault="003E0B3C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Município de Pomerode</w:t>
            </w:r>
          </w:p>
        </w:tc>
      </w:tr>
      <w:tr w:rsidR="003E0B3C" w:rsidTr="00D76952">
        <w:tc>
          <w:tcPr>
            <w:tcW w:w="2283" w:type="dxa"/>
          </w:tcPr>
          <w:p w:rsidR="003E0B3C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C49">
              <w:rPr>
                <w:rFonts w:ascii="Times New Roman" w:hAnsi="Times New Roman"/>
                <w:sz w:val="24"/>
                <w:szCs w:val="24"/>
              </w:rPr>
              <w:t>17.671.483/0001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1C4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64" w:type="dxa"/>
          </w:tcPr>
          <w:p w:rsidR="003E0B3C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 xml:space="preserve">Fundo Municipal para Criança e </w:t>
            </w:r>
            <w:proofErr w:type="spellStart"/>
            <w:r w:rsidRPr="0059604D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Pr="0059604D">
              <w:rPr>
                <w:rFonts w:ascii="Times New Roman" w:hAnsi="Times New Roman"/>
                <w:sz w:val="24"/>
                <w:szCs w:val="24"/>
              </w:rPr>
              <w:t xml:space="preserve"> Adolescente</w:t>
            </w:r>
          </w:p>
        </w:tc>
      </w:tr>
      <w:tr w:rsidR="003E0B3C" w:rsidTr="00D76952">
        <w:tc>
          <w:tcPr>
            <w:tcW w:w="2283" w:type="dxa"/>
          </w:tcPr>
          <w:p w:rsidR="003E0B3C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6A2">
              <w:rPr>
                <w:rFonts w:ascii="Times New Roman" w:hAnsi="Times New Roman"/>
                <w:sz w:val="24"/>
                <w:szCs w:val="24"/>
              </w:rPr>
              <w:t>13.465.023/0001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76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64" w:type="dxa"/>
          </w:tcPr>
          <w:p w:rsidR="003E0B3C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 xml:space="preserve">Fundo Municipal </w:t>
            </w:r>
            <w:r>
              <w:rPr>
                <w:rFonts w:ascii="Times New Roman" w:hAnsi="Times New Roman"/>
                <w:sz w:val="24"/>
                <w:szCs w:val="24"/>
              </w:rPr>
              <w:t>de Assistência Social de Pomerode</w:t>
            </w:r>
          </w:p>
        </w:tc>
      </w:tr>
      <w:tr w:rsidR="003E0B3C" w:rsidTr="00D76952">
        <w:tc>
          <w:tcPr>
            <w:tcW w:w="2283" w:type="dxa"/>
          </w:tcPr>
          <w:p w:rsidR="003E0B3C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17.671.409/0001-32</w:t>
            </w:r>
          </w:p>
        </w:tc>
        <w:tc>
          <w:tcPr>
            <w:tcW w:w="7464" w:type="dxa"/>
          </w:tcPr>
          <w:p w:rsidR="003E0B3C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Fundo de Desenvolvimento do Turismo</w:t>
            </w:r>
          </w:p>
        </w:tc>
      </w:tr>
      <w:tr w:rsidR="00D76952" w:rsidTr="00D76952">
        <w:tc>
          <w:tcPr>
            <w:tcW w:w="2283" w:type="dxa"/>
          </w:tcPr>
          <w:p w:rsidR="00D76952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DD1">
              <w:rPr>
                <w:rFonts w:ascii="Times New Roman" w:hAnsi="Times New Roman"/>
                <w:sz w:val="24"/>
                <w:szCs w:val="24"/>
              </w:rPr>
              <w:t>08.482.156/0001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DD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64" w:type="dxa"/>
          </w:tcPr>
          <w:p w:rsidR="00D76952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F89">
              <w:rPr>
                <w:rFonts w:ascii="Times New Roman" w:hAnsi="Times New Roman"/>
                <w:sz w:val="24"/>
                <w:szCs w:val="24"/>
              </w:rPr>
              <w:t>Fundação Promotora de Eventos, Esportes e Lazer de Pomerode</w:t>
            </w:r>
          </w:p>
        </w:tc>
      </w:tr>
      <w:tr w:rsidR="00D76952" w:rsidTr="00D76952">
        <w:tc>
          <w:tcPr>
            <w:tcW w:w="2283" w:type="dxa"/>
          </w:tcPr>
          <w:p w:rsidR="00D76952" w:rsidRPr="006A7DD1" w:rsidRDefault="006611BE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F4">
              <w:rPr>
                <w:rFonts w:ascii="Times New Roman" w:hAnsi="Times New Roman"/>
                <w:sz w:val="24"/>
                <w:szCs w:val="24"/>
              </w:rPr>
              <w:t>04.533.821/0001-44</w:t>
            </w:r>
          </w:p>
        </w:tc>
        <w:tc>
          <w:tcPr>
            <w:tcW w:w="7464" w:type="dxa"/>
          </w:tcPr>
          <w:p w:rsidR="00D76952" w:rsidRPr="00B23F89" w:rsidRDefault="00D7695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7C3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undo de Aposentadoria e Pensões</w:t>
            </w:r>
          </w:p>
        </w:tc>
      </w:tr>
      <w:tr w:rsidR="006611BE" w:rsidTr="00D76952">
        <w:tc>
          <w:tcPr>
            <w:tcW w:w="2283" w:type="dxa"/>
          </w:tcPr>
          <w:p w:rsidR="006611BE" w:rsidRPr="004C64F4" w:rsidRDefault="006611BE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32">
              <w:rPr>
                <w:rFonts w:ascii="Times New Roman" w:hAnsi="Times New Roman"/>
                <w:sz w:val="24"/>
                <w:szCs w:val="24"/>
              </w:rPr>
              <w:t>11.436.910/0001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33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64" w:type="dxa"/>
          </w:tcPr>
          <w:p w:rsidR="006611BE" w:rsidRPr="000E27C3" w:rsidRDefault="006611BE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Fundo Municipal de Saúde de Pomerode</w:t>
            </w:r>
          </w:p>
        </w:tc>
      </w:tr>
      <w:tr w:rsidR="006611BE" w:rsidTr="00D76952">
        <w:tc>
          <w:tcPr>
            <w:tcW w:w="2283" w:type="dxa"/>
          </w:tcPr>
          <w:p w:rsidR="006611BE" w:rsidRPr="00683332" w:rsidRDefault="004C67CA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7CA">
              <w:rPr>
                <w:rFonts w:ascii="Times New Roman" w:hAnsi="Times New Roman"/>
                <w:sz w:val="24"/>
                <w:szCs w:val="24"/>
              </w:rPr>
              <w:t>85.461.804/0001-40</w:t>
            </w:r>
          </w:p>
        </w:tc>
        <w:tc>
          <w:tcPr>
            <w:tcW w:w="7464" w:type="dxa"/>
          </w:tcPr>
          <w:p w:rsidR="006611BE" w:rsidRDefault="004C67CA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A35">
              <w:rPr>
                <w:rFonts w:ascii="Times New Roman" w:hAnsi="Times New Roman"/>
                <w:sz w:val="24"/>
                <w:szCs w:val="24"/>
              </w:rPr>
              <w:t>Serviço Autônomo Municipal de Água e Esgoto – SAMAE</w:t>
            </w:r>
          </w:p>
        </w:tc>
      </w:tr>
      <w:tr w:rsidR="00036702" w:rsidTr="00D76952">
        <w:tc>
          <w:tcPr>
            <w:tcW w:w="2283" w:type="dxa"/>
          </w:tcPr>
          <w:p w:rsidR="00036702" w:rsidRPr="004C67CA" w:rsidRDefault="00260801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B3C">
              <w:rPr>
                <w:rFonts w:ascii="Times New Roman" w:hAnsi="Times New Roman"/>
                <w:sz w:val="24"/>
                <w:szCs w:val="24"/>
              </w:rPr>
              <w:t>83.551.895/0001-80</w:t>
            </w:r>
          </w:p>
        </w:tc>
        <w:tc>
          <w:tcPr>
            <w:tcW w:w="7464" w:type="dxa"/>
          </w:tcPr>
          <w:p w:rsidR="00036702" w:rsidRPr="000D3A35" w:rsidRDefault="00036702" w:rsidP="00283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Câmara de Vereadores</w:t>
            </w:r>
          </w:p>
        </w:tc>
      </w:tr>
    </w:tbl>
    <w:p w:rsidR="00021A70" w:rsidRPr="00021A70" w:rsidRDefault="00021A70" w:rsidP="00A71EF9">
      <w:pPr>
        <w:spacing w:before="100" w:beforeAutospacing="1" w:after="100" w:afterAutospacing="1"/>
        <w:jc w:val="both"/>
        <w:rPr>
          <w:rFonts w:ascii="Times New Roman" w:hAnsi="Times New Roman"/>
          <w:color w:val="C00000"/>
          <w:sz w:val="24"/>
          <w:szCs w:val="24"/>
        </w:rPr>
      </w:pPr>
      <w:r w:rsidRPr="00021A70">
        <w:rPr>
          <w:rFonts w:ascii="Times New Roman" w:hAnsi="Times New Roman"/>
          <w:color w:val="C00000"/>
          <w:sz w:val="24"/>
          <w:szCs w:val="24"/>
        </w:rPr>
        <w:t>Caso tenha uma empresa, autarquia ou fundação que não faça parte do balanço, deve ser informado</w:t>
      </w:r>
    </w:p>
    <w:p w:rsidR="006C5443" w:rsidRDefault="006C5443" w:rsidP="00A71EF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C5443">
        <w:rPr>
          <w:rFonts w:ascii="Times New Roman" w:hAnsi="Times New Roman"/>
          <w:sz w:val="24"/>
          <w:szCs w:val="24"/>
        </w:rPr>
        <w:t xml:space="preserve">No ano de 2017 teve suas atividades orçamentárias autorizadas pela Lei Nº 2880, de 10 de </w:t>
      </w:r>
      <w:proofErr w:type="gramStart"/>
      <w:r w:rsidRPr="006C5443">
        <w:rPr>
          <w:rFonts w:ascii="Times New Roman" w:hAnsi="Times New Roman"/>
          <w:sz w:val="24"/>
          <w:szCs w:val="24"/>
        </w:rPr>
        <w:t>Nove</w:t>
      </w:r>
      <w:r>
        <w:rPr>
          <w:rFonts w:ascii="Times New Roman" w:hAnsi="Times New Roman"/>
          <w:sz w:val="24"/>
          <w:szCs w:val="24"/>
        </w:rPr>
        <w:t>m</w:t>
      </w:r>
      <w:r w:rsidRPr="006C5443">
        <w:rPr>
          <w:rFonts w:ascii="Times New Roman" w:hAnsi="Times New Roman"/>
          <w:sz w:val="24"/>
          <w:szCs w:val="24"/>
        </w:rPr>
        <w:t>bro</w:t>
      </w:r>
      <w:proofErr w:type="gramEnd"/>
      <w:r w:rsidRPr="006C5443">
        <w:rPr>
          <w:rFonts w:ascii="Times New Roman" w:hAnsi="Times New Roman"/>
          <w:sz w:val="24"/>
          <w:szCs w:val="24"/>
        </w:rPr>
        <w:t xml:space="preserve"> de 2016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C5443">
        <w:rPr>
          <w:rFonts w:ascii="Times New Roman" w:hAnsi="Times New Roman"/>
          <w:sz w:val="24"/>
          <w:szCs w:val="24"/>
        </w:rPr>
        <w:t>Estima a Receita e Fixa a Despesa do Município de Pomerode Para o Exercício de 2017 - Lei Orçamentária Anual</w:t>
      </w:r>
      <w:r w:rsidR="009A43E7">
        <w:rPr>
          <w:rFonts w:ascii="Times New Roman" w:hAnsi="Times New Roman"/>
          <w:sz w:val="24"/>
          <w:szCs w:val="24"/>
        </w:rPr>
        <w:t xml:space="preserve"> - LOA</w:t>
      </w:r>
      <w:r w:rsidRPr="006C5443">
        <w:rPr>
          <w:rFonts w:ascii="Times New Roman" w:hAnsi="Times New Roman"/>
          <w:sz w:val="24"/>
          <w:szCs w:val="24"/>
        </w:rPr>
        <w:t>)</w:t>
      </w:r>
      <w:r w:rsidR="009A43E7">
        <w:rPr>
          <w:rFonts w:ascii="Times New Roman" w:hAnsi="Times New Roman"/>
          <w:sz w:val="24"/>
          <w:szCs w:val="24"/>
        </w:rPr>
        <w:t>.</w:t>
      </w:r>
    </w:p>
    <w:p w:rsidR="007E4169" w:rsidRPr="007E4169" w:rsidRDefault="007E4169" w:rsidP="007E4169">
      <w:pPr>
        <w:spacing w:before="100" w:beforeAutospacing="1" w:after="100" w:afterAutospacing="1"/>
        <w:jc w:val="both"/>
        <w:rPr>
          <w:rFonts w:ascii="Times New Roman" w:hAnsi="Times New Roman"/>
          <w:color w:val="C00000"/>
          <w:sz w:val="24"/>
          <w:szCs w:val="24"/>
        </w:rPr>
      </w:pPr>
      <w:r w:rsidRPr="007E4169">
        <w:rPr>
          <w:rStyle w:val="fontstyle01"/>
          <w:rFonts w:ascii="Times New Roman" w:hAnsi="Times New Roman"/>
          <w:color w:val="C00000"/>
          <w:sz w:val="24"/>
          <w:szCs w:val="24"/>
        </w:rPr>
        <w:t>As demonstrações contábeis constantes neste Relatório Técnico foram elaboradas de acordo com as</w:t>
      </w:r>
      <w:r w:rsidRPr="007E4169">
        <w:rPr>
          <w:rFonts w:ascii="Times New Roman" w:hAnsi="Times New Roman"/>
          <w:color w:val="C00000"/>
          <w:sz w:val="24"/>
          <w:szCs w:val="24"/>
        </w:rPr>
        <w:br/>
      </w:r>
      <w:r w:rsidRPr="007E4169">
        <w:rPr>
          <w:rStyle w:val="fontstyle01"/>
          <w:rFonts w:ascii="Times New Roman" w:hAnsi="Times New Roman"/>
          <w:color w:val="C00000"/>
          <w:sz w:val="24"/>
          <w:szCs w:val="24"/>
        </w:rPr>
        <w:t xml:space="preserve">orientações da Parte V – Demonstrações Contábeis Aplicadas ao Setor Público (DCASP), do Manual de Contabilidade Aplicada ao Setor Público (MCASP), 7ª edição. O manual é aprovado pela Portaria da Secretaria do Tesouro Nacional (STN) nº 840, de 21 de dezembro de 2016, que observa os dispositivos legais que regulam o assunto, como a Lei Federal nº 4.320, de 17 de março de 1964, a Lei Complementar Federal nº 101/2000 e, também, as disposições do Conselho </w:t>
      </w:r>
      <w:proofErr w:type="gramStart"/>
      <w:r w:rsidRPr="007E4169">
        <w:rPr>
          <w:rStyle w:val="fontstyle01"/>
          <w:rFonts w:ascii="Times New Roman" w:hAnsi="Times New Roman"/>
          <w:color w:val="C00000"/>
          <w:sz w:val="24"/>
          <w:szCs w:val="24"/>
        </w:rPr>
        <w:t>Federal  e</w:t>
      </w:r>
      <w:proofErr w:type="gramEnd"/>
      <w:r w:rsidRPr="007E4169">
        <w:rPr>
          <w:rStyle w:val="fontstyle01"/>
          <w:rFonts w:ascii="Times New Roman" w:hAnsi="Times New Roman"/>
          <w:color w:val="C00000"/>
          <w:sz w:val="24"/>
          <w:szCs w:val="24"/>
        </w:rPr>
        <w:t xml:space="preserve"> Contabilidade (CFC) relativas às Normas Brasileiras de Contabilidade Aplicadas ao Setor Público (NBCT 16 e </w:t>
      </w:r>
      <w:proofErr w:type="spellStart"/>
      <w:r w:rsidRPr="007E4169">
        <w:rPr>
          <w:rStyle w:val="fontstyle01"/>
          <w:rFonts w:ascii="Times New Roman" w:hAnsi="Times New Roman"/>
          <w:color w:val="C00000"/>
          <w:sz w:val="24"/>
          <w:szCs w:val="24"/>
        </w:rPr>
        <w:t>NBCs</w:t>
      </w:r>
      <w:proofErr w:type="spellEnd"/>
      <w:r w:rsidRPr="007E4169">
        <w:rPr>
          <w:rStyle w:val="fontstyle01"/>
          <w:rFonts w:ascii="Times New Roman" w:hAnsi="Times New Roman"/>
          <w:color w:val="C00000"/>
          <w:sz w:val="24"/>
          <w:szCs w:val="24"/>
        </w:rPr>
        <w:t xml:space="preserve"> TSP, quando aplicáveis).</w:t>
      </w:r>
    </w:p>
    <w:p w:rsidR="00404B32" w:rsidRDefault="00404B32" w:rsidP="00404B32">
      <w:pPr>
        <w:jc w:val="both"/>
        <w:rPr>
          <w:rFonts w:ascii="Times New Roman" w:hAnsi="Times New Roman"/>
          <w:sz w:val="24"/>
          <w:szCs w:val="24"/>
        </w:rPr>
      </w:pPr>
    </w:p>
    <w:p w:rsidR="00166D31" w:rsidRDefault="00166D31" w:rsidP="004F1807">
      <w:pPr>
        <w:spacing w:line="360" w:lineRule="auto"/>
        <w:ind w:left="1985" w:hanging="19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B700B" w:rsidRPr="000D3A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Políticas Contábeis Significativas</w:t>
      </w:r>
    </w:p>
    <w:p w:rsidR="00022510" w:rsidRPr="004F1807" w:rsidRDefault="005B700B" w:rsidP="004F1807">
      <w:pPr>
        <w:spacing w:line="360" w:lineRule="auto"/>
        <w:ind w:left="1985" w:hanging="1985"/>
        <w:rPr>
          <w:rFonts w:ascii="Times New Roman" w:hAnsi="Times New Roman"/>
          <w:b/>
          <w:sz w:val="24"/>
          <w:szCs w:val="24"/>
        </w:rPr>
      </w:pPr>
      <w:r w:rsidRPr="000D3A35">
        <w:rPr>
          <w:rFonts w:ascii="Times New Roman" w:hAnsi="Times New Roman"/>
          <w:b/>
          <w:sz w:val="24"/>
          <w:szCs w:val="24"/>
        </w:rPr>
        <w:t xml:space="preserve">  </w:t>
      </w:r>
      <w:r w:rsidR="00022510" w:rsidRPr="00022510">
        <w:rPr>
          <w:rFonts w:ascii="Times New Roman" w:hAnsi="Times New Roman"/>
          <w:b/>
          <w:sz w:val="24"/>
          <w:szCs w:val="24"/>
        </w:rPr>
        <w:t>BASE DE PREPARAÇÃO DAS DEMONSTRAÇÕES CONTÁBEIS</w:t>
      </w:r>
    </w:p>
    <w:p w:rsidR="00A71EF9" w:rsidRDefault="002D2C7A" w:rsidP="00A71EF9">
      <w:pPr>
        <w:jc w:val="both"/>
        <w:rPr>
          <w:rFonts w:ascii="Times New Roman" w:hAnsi="Times New Roman"/>
          <w:sz w:val="24"/>
          <w:szCs w:val="24"/>
        </w:rPr>
      </w:pPr>
      <w:r w:rsidRPr="00404B32">
        <w:rPr>
          <w:rFonts w:ascii="Times New Roman" w:hAnsi="Times New Roman"/>
          <w:sz w:val="24"/>
          <w:szCs w:val="24"/>
        </w:rPr>
        <w:t>As Demonstrações</w:t>
      </w:r>
      <w:r w:rsidRPr="000D3A35">
        <w:rPr>
          <w:rFonts w:ascii="Times New Roman" w:hAnsi="Times New Roman"/>
          <w:sz w:val="24"/>
          <w:szCs w:val="24"/>
        </w:rPr>
        <w:t xml:space="preserve"> Contábeis apresentadas foram elaboradas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2C6">
        <w:rPr>
          <w:rFonts w:ascii="Times New Roman" w:hAnsi="Times New Roman"/>
          <w:sz w:val="24"/>
          <w:szCs w:val="24"/>
        </w:rPr>
        <w:t xml:space="preserve">a partir da escrituração contábil realizada pelo método de partidas dobradas e por meio de classes de contas de natureza patrimonial, </w:t>
      </w:r>
      <w:r w:rsidRPr="00EE22C6">
        <w:rPr>
          <w:rFonts w:ascii="Times New Roman" w:hAnsi="Times New Roman"/>
          <w:sz w:val="24"/>
          <w:szCs w:val="24"/>
        </w:rPr>
        <w:lastRenderedPageBreak/>
        <w:t>orçamentária e de controle/compensação, visando evidenciar os</w:t>
      </w:r>
      <w:r>
        <w:rPr>
          <w:rFonts w:ascii="Times New Roman" w:hAnsi="Times New Roman"/>
          <w:sz w:val="24"/>
          <w:szCs w:val="24"/>
        </w:rPr>
        <w:t xml:space="preserve"> atos e fatos</w:t>
      </w:r>
      <w:r w:rsidRPr="000D3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acordo as disposições contidas na </w:t>
      </w:r>
      <w:r w:rsidRPr="000D3A35">
        <w:rPr>
          <w:rFonts w:ascii="Times New Roman" w:hAnsi="Times New Roman"/>
          <w:sz w:val="24"/>
          <w:szCs w:val="24"/>
        </w:rPr>
        <w:t xml:space="preserve">Lei nº 4.320/64, </w:t>
      </w:r>
      <w:r>
        <w:rPr>
          <w:rFonts w:ascii="Times New Roman" w:hAnsi="Times New Roman"/>
          <w:sz w:val="24"/>
          <w:szCs w:val="24"/>
        </w:rPr>
        <w:t>na Lei Complementar nº 101/2000, no</w:t>
      </w:r>
      <w:r w:rsidRPr="000D3A35">
        <w:rPr>
          <w:rFonts w:ascii="Times New Roman" w:hAnsi="Times New Roman"/>
          <w:sz w:val="24"/>
          <w:szCs w:val="24"/>
        </w:rPr>
        <w:t xml:space="preserve"> Manual de Contabilidade Aplicada ao Setor Público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A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A35">
        <w:rPr>
          <w:rFonts w:ascii="Times New Roman" w:hAnsi="Times New Roman"/>
          <w:sz w:val="24"/>
          <w:szCs w:val="24"/>
        </w:rPr>
        <w:t xml:space="preserve">MCASP, </w:t>
      </w:r>
      <w:r>
        <w:rPr>
          <w:rFonts w:ascii="Times New Roman" w:hAnsi="Times New Roman"/>
          <w:sz w:val="24"/>
          <w:szCs w:val="24"/>
        </w:rPr>
        <w:t>7</w:t>
      </w:r>
      <w:r w:rsidRPr="000D3A35">
        <w:rPr>
          <w:rFonts w:ascii="Times New Roman" w:hAnsi="Times New Roman"/>
          <w:sz w:val="24"/>
          <w:szCs w:val="24"/>
        </w:rPr>
        <w:t>º Edição aprovad</w:t>
      </w:r>
      <w:r>
        <w:rPr>
          <w:rFonts w:ascii="Times New Roman" w:hAnsi="Times New Roman"/>
          <w:sz w:val="24"/>
          <w:szCs w:val="24"/>
        </w:rPr>
        <w:t>a</w:t>
      </w:r>
      <w:r w:rsidRPr="000D3A35">
        <w:rPr>
          <w:rFonts w:ascii="Times New Roman" w:hAnsi="Times New Roman"/>
          <w:sz w:val="24"/>
          <w:szCs w:val="24"/>
        </w:rPr>
        <w:t xml:space="preserve"> pela Portaria Con</w:t>
      </w:r>
      <w:r>
        <w:rPr>
          <w:rFonts w:ascii="Times New Roman" w:hAnsi="Times New Roman"/>
          <w:sz w:val="24"/>
          <w:szCs w:val="24"/>
        </w:rPr>
        <w:t>j</w:t>
      </w:r>
      <w:r w:rsidRPr="000D3A35">
        <w:rPr>
          <w:rFonts w:ascii="Times New Roman" w:hAnsi="Times New Roman"/>
          <w:sz w:val="24"/>
          <w:szCs w:val="24"/>
        </w:rPr>
        <w:t xml:space="preserve">unta STN/SOF nº </w:t>
      </w:r>
      <w:r>
        <w:rPr>
          <w:rFonts w:ascii="Times New Roman" w:hAnsi="Times New Roman"/>
          <w:sz w:val="24"/>
          <w:szCs w:val="24"/>
        </w:rPr>
        <w:t>2</w:t>
      </w:r>
      <w:r w:rsidRPr="000D3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D3A3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22</w:t>
      </w:r>
      <w:r w:rsidRPr="000D3A35">
        <w:rPr>
          <w:rFonts w:ascii="Times New Roman" w:hAnsi="Times New Roman"/>
          <w:sz w:val="24"/>
          <w:szCs w:val="24"/>
        </w:rPr>
        <w:t xml:space="preserve"> de Dezembro de 201</w:t>
      </w:r>
      <w:r>
        <w:rPr>
          <w:rFonts w:ascii="Times New Roman" w:hAnsi="Times New Roman"/>
          <w:sz w:val="24"/>
          <w:szCs w:val="24"/>
        </w:rPr>
        <w:t>6</w:t>
      </w:r>
      <w:r w:rsidRPr="000D3A35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pela </w:t>
      </w:r>
      <w:r w:rsidRPr="000D3A35">
        <w:rPr>
          <w:rFonts w:ascii="Times New Roman" w:hAnsi="Times New Roman"/>
          <w:sz w:val="24"/>
          <w:szCs w:val="24"/>
        </w:rPr>
        <w:t xml:space="preserve">Portaria STN nº </w:t>
      </w:r>
      <w:r>
        <w:rPr>
          <w:rFonts w:ascii="Times New Roman" w:hAnsi="Times New Roman"/>
          <w:sz w:val="24"/>
          <w:szCs w:val="24"/>
        </w:rPr>
        <w:t>840</w:t>
      </w:r>
      <w:r w:rsidRPr="000D3A35">
        <w:rPr>
          <w:rFonts w:ascii="Times New Roman" w:hAnsi="Times New Roman"/>
          <w:sz w:val="24"/>
          <w:szCs w:val="24"/>
        </w:rPr>
        <w:t xml:space="preserve">, de </w:t>
      </w:r>
      <w:r>
        <w:rPr>
          <w:rFonts w:ascii="Times New Roman" w:hAnsi="Times New Roman"/>
          <w:sz w:val="24"/>
          <w:szCs w:val="24"/>
        </w:rPr>
        <w:t>21</w:t>
      </w:r>
      <w:r w:rsidRPr="000D3A35">
        <w:rPr>
          <w:rFonts w:ascii="Times New Roman" w:hAnsi="Times New Roman"/>
          <w:sz w:val="24"/>
          <w:szCs w:val="24"/>
        </w:rPr>
        <w:t xml:space="preserve"> de Dezembro de 201</w:t>
      </w:r>
      <w:r>
        <w:rPr>
          <w:rFonts w:ascii="Times New Roman" w:hAnsi="Times New Roman"/>
          <w:sz w:val="24"/>
          <w:szCs w:val="24"/>
        </w:rPr>
        <w:t>6 e Normas Brasileiras de Contabilidade Aplicadas ao Setor Público editadas pelo Conselho Federal de Contabilidade (CFC).</w:t>
      </w:r>
    </w:p>
    <w:p w:rsidR="00A71EF9" w:rsidRDefault="00A71EF9" w:rsidP="00A71EF9">
      <w:pPr>
        <w:jc w:val="both"/>
        <w:rPr>
          <w:rFonts w:ascii="Times New Roman" w:hAnsi="Times New Roman"/>
          <w:sz w:val="24"/>
          <w:szCs w:val="24"/>
        </w:rPr>
      </w:pPr>
    </w:p>
    <w:p w:rsidR="002D2C7A" w:rsidRDefault="002D2C7A" w:rsidP="00A71E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Todos os registros</w:t>
      </w:r>
      <w:r w:rsidRPr="00DB5E99">
        <w:rPr>
          <w:rFonts w:ascii="Times New Roman" w:hAnsi="Times New Roman"/>
          <w:sz w:val="24"/>
          <w:szCs w:val="24"/>
        </w:rPr>
        <w:t xml:space="preserve"> contábeis</w:t>
      </w:r>
      <w:r>
        <w:rPr>
          <w:rFonts w:ascii="Times New Roman" w:hAnsi="Times New Roman"/>
          <w:sz w:val="24"/>
          <w:szCs w:val="24"/>
        </w:rPr>
        <w:t xml:space="preserve"> efetuados no exercício de </w:t>
      </w:r>
      <w:r w:rsidRPr="00DB5E99">
        <w:rPr>
          <w:rFonts w:ascii="Times New Roman" w:hAnsi="Times New Roman"/>
          <w:sz w:val="24"/>
          <w:szCs w:val="24"/>
        </w:rPr>
        <w:t>201</w:t>
      </w:r>
      <w:r w:rsidR="00D07FCC">
        <w:rPr>
          <w:rFonts w:ascii="Times New Roman" w:hAnsi="Times New Roman"/>
          <w:sz w:val="24"/>
          <w:szCs w:val="24"/>
        </w:rPr>
        <w:t>7</w:t>
      </w:r>
      <w:r w:rsidRPr="00DB5E99">
        <w:rPr>
          <w:rFonts w:ascii="Times New Roman" w:hAnsi="Times New Roman"/>
          <w:sz w:val="24"/>
          <w:szCs w:val="24"/>
        </w:rPr>
        <w:t xml:space="preserve"> foram executados através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E99">
        <w:rPr>
          <w:rFonts w:ascii="Times New Roman" w:hAnsi="Times New Roman"/>
          <w:sz w:val="24"/>
          <w:szCs w:val="24"/>
        </w:rPr>
        <w:t>sistema informatizado, fornecido pela</w:t>
      </w:r>
      <w:r>
        <w:rPr>
          <w:rFonts w:ascii="Times New Roman" w:hAnsi="Times New Roman"/>
          <w:sz w:val="24"/>
          <w:szCs w:val="24"/>
        </w:rPr>
        <w:t xml:space="preserve"> </w:t>
      </w:r>
      <w:r w:rsidR="003C3F48">
        <w:rPr>
          <w:rFonts w:ascii="Times New Roman" w:hAnsi="Times New Roman"/>
          <w:sz w:val="24"/>
          <w:szCs w:val="24"/>
        </w:rPr>
        <w:t xml:space="preserve">empresa </w:t>
      </w:r>
      <w:r w:rsidR="003C3F48" w:rsidRPr="003C3F48">
        <w:rPr>
          <w:rFonts w:ascii="Times New Roman" w:hAnsi="Times New Roman"/>
          <w:color w:val="FF0000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.</w:t>
      </w:r>
    </w:p>
    <w:p w:rsidR="00A71EF9" w:rsidRDefault="00A71EF9" w:rsidP="00A71EF9">
      <w:pPr>
        <w:jc w:val="both"/>
        <w:rPr>
          <w:rFonts w:ascii="Times New Roman" w:hAnsi="Times New Roman"/>
          <w:sz w:val="24"/>
          <w:szCs w:val="24"/>
        </w:rPr>
      </w:pPr>
    </w:p>
    <w:p w:rsidR="003E6CBA" w:rsidRDefault="003E6CBA" w:rsidP="00A71E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Município de Pomerode através do Decreto nº 3.039 de 18/12/2015 especifica o cronograma de ações a serem adotados para o Plano de Implementação dos Procedimentos Contábeis Patrimoniais (PIPCP) </w:t>
      </w:r>
      <w:r w:rsidRPr="00466344">
        <w:rPr>
          <w:rFonts w:ascii="Times New Roman" w:hAnsi="Times New Roman"/>
          <w:sz w:val="24"/>
          <w:szCs w:val="24"/>
        </w:rPr>
        <w:t>definidos no Manual de C</w:t>
      </w:r>
      <w:bookmarkStart w:id="0" w:name="_GoBack"/>
      <w:bookmarkEnd w:id="0"/>
      <w:r w:rsidRPr="00466344">
        <w:rPr>
          <w:rFonts w:ascii="Times New Roman" w:hAnsi="Times New Roman"/>
          <w:sz w:val="24"/>
          <w:szCs w:val="24"/>
        </w:rPr>
        <w:t>ontabilidade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44">
        <w:rPr>
          <w:rFonts w:ascii="Times New Roman" w:hAnsi="Times New Roman"/>
          <w:sz w:val="24"/>
          <w:szCs w:val="24"/>
        </w:rPr>
        <w:t>Aplicada ao Setor Público - MCASP, a serem necessariamente observados para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44">
        <w:rPr>
          <w:rFonts w:ascii="Times New Roman" w:hAnsi="Times New Roman"/>
          <w:sz w:val="24"/>
          <w:szCs w:val="24"/>
        </w:rPr>
        <w:t>consolidação das contas públicas nacionais sob a mesma base conceitual e 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44">
        <w:rPr>
          <w:rFonts w:ascii="Times New Roman" w:hAnsi="Times New Roman"/>
          <w:sz w:val="24"/>
          <w:szCs w:val="24"/>
        </w:rPr>
        <w:t>continuidade ao processo de convergência às Normas Internacionais</w:t>
      </w:r>
      <w:r w:rsidR="004114D6">
        <w:rPr>
          <w:rFonts w:ascii="Times New Roman" w:hAnsi="Times New Roman"/>
          <w:sz w:val="24"/>
          <w:szCs w:val="24"/>
        </w:rPr>
        <w:t>, s</w:t>
      </w:r>
      <w:r w:rsidRPr="00466344">
        <w:rPr>
          <w:rFonts w:ascii="Times New Roman" w:hAnsi="Times New Roman"/>
          <w:sz w:val="24"/>
          <w:szCs w:val="24"/>
        </w:rPr>
        <w:t>egundo as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6344">
        <w:rPr>
          <w:rFonts w:ascii="Times New Roman" w:hAnsi="Times New Roman"/>
          <w:sz w:val="24"/>
          <w:szCs w:val="24"/>
        </w:rPr>
        <w:t>disposições</w:t>
      </w:r>
      <w:proofErr w:type="gramEnd"/>
      <w:r w:rsidRPr="00466344">
        <w:rPr>
          <w:rFonts w:ascii="Times New Roman" w:hAnsi="Times New Roman"/>
          <w:sz w:val="24"/>
          <w:szCs w:val="24"/>
        </w:rPr>
        <w:t xml:space="preserve"> previstas na Portaria STN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44">
        <w:rPr>
          <w:rFonts w:ascii="Times New Roman" w:hAnsi="Times New Roman"/>
          <w:sz w:val="24"/>
          <w:szCs w:val="24"/>
        </w:rPr>
        <w:t>nº 548, de 24 de setembro de 2015</w:t>
      </w:r>
      <w:r>
        <w:rPr>
          <w:rFonts w:ascii="Times New Roman" w:hAnsi="Times New Roman"/>
          <w:sz w:val="24"/>
          <w:szCs w:val="24"/>
        </w:rPr>
        <w:t>.</w:t>
      </w:r>
    </w:p>
    <w:p w:rsidR="00166D31" w:rsidRDefault="00166D31" w:rsidP="00A71EF9">
      <w:pPr>
        <w:jc w:val="both"/>
        <w:rPr>
          <w:rFonts w:ascii="Times New Roman" w:hAnsi="Times New Roman"/>
          <w:sz w:val="24"/>
          <w:szCs w:val="24"/>
        </w:rPr>
      </w:pPr>
    </w:p>
    <w:p w:rsidR="00166D31" w:rsidRPr="00166D31" w:rsidRDefault="00166D31" w:rsidP="00A71E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66D31">
        <w:rPr>
          <w:rFonts w:ascii="Times New Roman" w:hAnsi="Times New Roman"/>
          <w:b/>
          <w:color w:val="C00000"/>
          <w:sz w:val="24"/>
          <w:szCs w:val="24"/>
        </w:rPr>
        <w:t>Regulamentação de forma de depreciação, reavaliação, provisões, ajustes da dívida ativa, ...</w:t>
      </w:r>
    </w:p>
    <w:p w:rsidR="00166D31" w:rsidRPr="00166D31" w:rsidRDefault="00166D31" w:rsidP="00A71E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4977BC" w:rsidRPr="00166D31" w:rsidRDefault="00166D31" w:rsidP="00A71EF9">
      <w:pPr>
        <w:jc w:val="both"/>
        <w:rPr>
          <w:rFonts w:ascii="Times New Roman" w:hAnsi="Times New Roman"/>
          <w:color w:val="C00000"/>
          <w:sz w:val="24"/>
          <w:szCs w:val="24"/>
        </w:rPr>
      </w:pPr>
      <w:r w:rsidRPr="00166D31">
        <w:rPr>
          <w:rFonts w:ascii="Times New Roman" w:hAnsi="Times New Roman"/>
          <w:b/>
          <w:color w:val="C00000"/>
          <w:sz w:val="24"/>
          <w:szCs w:val="24"/>
        </w:rPr>
        <w:t>3.  Outras Políticas Contábeis</w:t>
      </w:r>
    </w:p>
    <w:p w:rsidR="00166D31" w:rsidRDefault="00166D31" w:rsidP="00A71EF9">
      <w:pPr>
        <w:jc w:val="both"/>
        <w:rPr>
          <w:rFonts w:ascii="Times New Roman" w:hAnsi="Times New Roman"/>
          <w:sz w:val="24"/>
          <w:szCs w:val="24"/>
        </w:rPr>
      </w:pPr>
    </w:p>
    <w:p w:rsidR="005B700B" w:rsidRPr="000D3A35" w:rsidRDefault="005B700B" w:rsidP="004977B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D3A35">
        <w:rPr>
          <w:rFonts w:ascii="Times New Roman" w:hAnsi="Times New Roman"/>
          <w:b/>
          <w:sz w:val="24"/>
          <w:szCs w:val="24"/>
        </w:rPr>
        <w:t>4.</w:t>
      </w:r>
      <w:r w:rsidR="00A077D5">
        <w:rPr>
          <w:rFonts w:ascii="Times New Roman" w:hAnsi="Times New Roman"/>
          <w:b/>
          <w:sz w:val="24"/>
          <w:szCs w:val="24"/>
        </w:rPr>
        <w:t xml:space="preserve"> </w:t>
      </w:r>
      <w:r w:rsidRPr="000D3A35">
        <w:rPr>
          <w:rFonts w:ascii="Times New Roman" w:hAnsi="Times New Roman"/>
          <w:b/>
          <w:sz w:val="24"/>
          <w:szCs w:val="24"/>
        </w:rPr>
        <w:t xml:space="preserve"> </w:t>
      </w:r>
      <w:r w:rsidR="00D454C2">
        <w:rPr>
          <w:rFonts w:ascii="Times New Roman" w:hAnsi="Times New Roman"/>
          <w:b/>
          <w:sz w:val="24"/>
          <w:szCs w:val="24"/>
        </w:rPr>
        <w:t>NOTAS EXPLICATIVAS DO BALANÇO ORÇAMENTÁRO</w:t>
      </w:r>
    </w:p>
    <w:p w:rsidR="00C37F3D" w:rsidRDefault="00C37F3D" w:rsidP="00F11F9C">
      <w:pPr>
        <w:jc w:val="both"/>
        <w:rPr>
          <w:rFonts w:ascii="Times New Roman" w:hAnsi="Times New Roman"/>
          <w:sz w:val="24"/>
          <w:szCs w:val="24"/>
        </w:rPr>
      </w:pPr>
    </w:p>
    <w:p w:rsidR="006E3152" w:rsidRPr="00186F26" w:rsidRDefault="00EC3FF4" w:rsidP="00EC3FF4">
      <w:pPr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 xml:space="preserve">Confronto entre a previsão da receita </w:t>
      </w:r>
      <w:r w:rsidRPr="00186F26">
        <w:rPr>
          <w:rFonts w:ascii="Times New Roman" w:hAnsi="Times New Roman"/>
          <w:b/>
          <w:i/>
          <w:iCs/>
          <w:color w:val="C00000"/>
          <w:sz w:val="24"/>
          <w:szCs w:val="24"/>
        </w:rPr>
        <w:t xml:space="preserve">X </w:t>
      </w:r>
      <w:r w:rsidRPr="00186F26">
        <w:rPr>
          <w:rFonts w:ascii="Times New Roman" w:hAnsi="Times New Roman"/>
          <w:b/>
          <w:color w:val="C00000"/>
          <w:sz w:val="24"/>
          <w:szCs w:val="24"/>
        </w:rPr>
        <w:t>arrecadação</w:t>
      </w:r>
    </w:p>
    <w:p w:rsidR="006E3152" w:rsidRPr="00186F26" w:rsidRDefault="00EC3FF4" w:rsidP="00EC3F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 xml:space="preserve">Detalhamento das receitas e despesas </w:t>
      </w:r>
      <w:proofErr w:type="spellStart"/>
      <w:r w:rsidRPr="00186F26">
        <w:rPr>
          <w:rFonts w:ascii="Times New Roman" w:hAnsi="Times New Roman"/>
          <w:b/>
          <w:color w:val="C00000"/>
          <w:sz w:val="24"/>
          <w:szCs w:val="24"/>
        </w:rPr>
        <w:t>intraorçamentárias</w:t>
      </w:r>
      <w:proofErr w:type="spellEnd"/>
    </w:p>
    <w:p w:rsidR="006E3152" w:rsidRPr="00186F26" w:rsidRDefault="00EC3FF4" w:rsidP="00EC3FF4">
      <w:pPr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>A utilização do superávit financeiro e da reabertura de créditos especiais e extraordinários</w:t>
      </w:r>
    </w:p>
    <w:p w:rsidR="006E3152" w:rsidRPr="00186F26" w:rsidRDefault="00EC3FF4" w:rsidP="00EC3F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>Valores que aparecem no relatório na linha referente estas informações</w:t>
      </w:r>
    </w:p>
    <w:p w:rsidR="006E3152" w:rsidRPr="00186F26" w:rsidRDefault="00EC3FF4" w:rsidP="00EC3FF4">
      <w:pPr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>Atualização da Receita</w:t>
      </w:r>
    </w:p>
    <w:p w:rsidR="006E3152" w:rsidRPr="00186F26" w:rsidRDefault="00EC3FF4" w:rsidP="00EC3F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>Diferença entre dotação inicial e atualizada</w:t>
      </w:r>
    </w:p>
    <w:p w:rsidR="006E3152" w:rsidRPr="00186F26" w:rsidRDefault="00EC3FF4" w:rsidP="00EC3FF4">
      <w:pPr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>Cancelamentos de Restos a Pagar Processados</w:t>
      </w:r>
    </w:p>
    <w:p w:rsidR="006E3152" w:rsidRPr="00186F26" w:rsidRDefault="00EC3FF4" w:rsidP="00EC3F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 xml:space="preserve">Detalhamento e análise da execução das despesas </w:t>
      </w:r>
    </w:p>
    <w:p w:rsidR="006E3152" w:rsidRDefault="00EC3FF4" w:rsidP="00EC3FF4">
      <w:pPr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86F26">
        <w:rPr>
          <w:rFonts w:ascii="Times New Roman" w:hAnsi="Times New Roman"/>
          <w:b/>
          <w:color w:val="C00000"/>
          <w:sz w:val="24"/>
          <w:szCs w:val="24"/>
        </w:rPr>
        <w:t>Avaliação do estoque de restos a pagar</w:t>
      </w:r>
    </w:p>
    <w:p w:rsidR="00186F26" w:rsidRPr="00186F26" w:rsidRDefault="00186F26" w:rsidP="00EC3FF4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Resultado Orçamentário e em caso Déficit, informar se foi absorvido por Superávit Financeiro do Exercício Anterior</w:t>
      </w:r>
    </w:p>
    <w:p w:rsidR="00186F26" w:rsidRDefault="00186F26" w:rsidP="00033D5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33D5F" w:rsidRDefault="00033D5F" w:rsidP="00033D5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D3A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3A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NOTAS EXPLICATIVAS DO BALANÇO FINANCEIRO</w:t>
      </w:r>
    </w:p>
    <w:p w:rsidR="00913B3F" w:rsidRDefault="00913B3F" w:rsidP="00913B3F">
      <w:pPr>
        <w:jc w:val="both"/>
        <w:rPr>
          <w:rFonts w:ascii="Times New Roman" w:hAnsi="Times New Roman"/>
          <w:sz w:val="24"/>
          <w:szCs w:val="24"/>
        </w:rPr>
      </w:pPr>
    </w:p>
    <w:p w:rsidR="006E3152" w:rsidRPr="0032256A" w:rsidRDefault="00EC3FF4" w:rsidP="00EC3FF4">
      <w:pPr>
        <w:numPr>
          <w:ilvl w:val="0"/>
          <w:numId w:val="2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 xml:space="preserve">Transferências Financeiras Recebida e Concedidas </w:t>
      </w:r>
    </w:p>
    <w:p w:rsidR="006E3152" w:rsidRPr="0032256A" w:rsidRDefault="00EC3FF4" w:rsidP="00EC3FF4">
      <w:pPr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>Evidenciar o tratamento adotado para retenções tributárias</w:t>
      </w:r>
      <w:r w:rsidRPr="0032256A">
        <w:rPr>
          <w:rFonts w:ascii="Times New Roman" w:hAnsi="Times New Roman"/>
          <w:b/>
          <w:bCs/>
          <w:color w:val="C00000"/>
          <w:sz w:val="24"/>
          <w:szCs w:val="24"/>
        </w:rPr>
        <w:t>?</w:t>
      </w:r>
    </w:p>
    <w:p w:rsidR="006E3152" w:rsidRPr="0032256A" w:rsidRDefault="00EC3FF4" w:rsidP="00EC3FF4">
      <w:pPr>
        <w:numPr>
          <w:ilvl w:val="0"/>
          <w:numId w:val="2"/>
        </w:numPr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>Detalhar os restos a pagar por grupo de despesa</w:t>
      </w:r>
      <w:r w:rsidR="0026666C" w:rsidRPr="0032256A">
        <w:rPr>
          <w:rFonts w:ascii="Times New Roman" w:hAnsi="Times New Roman"/>
          <w:color w:val="C00000"/>
          <w:sz w:val="24"/>
          <w:szCs w:val="24"/>
        </w:rPr>
        <w:t>, ou por vínculo? P</w:t>
      </w:r>
      <w:r w:rsidRPr="0032256A">
        <w:rPr>
          <w:rFonts w:ascii="Times New Roman" w:hAnsi="Times New Roman"/>
          <w:color w:val="C00000"/>
          <w:sz w:val="24"/>
          <w:szCs w:val="24"/>
        </w:rPr>
        <w:t>agos e inscritos?</w:t>
      </w:r>
    </w:p>
    <w:p w:rsidR="0026666C" w:rsidRPr="0032256A" w:rsidRDefault="00EC3FF4" w:rsidP="00EC3FF4">
      <w:pPr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 xml:space="preserve">Outros pagamentos </w:t>
      </w:r>
      <w:proofErr w:type="spellStart"/>
      <w:r w:rsidRPr="0032256A">
        <w:rPr>
          <w:rFonts w:ascii="Times New Roman" w:hAnsi="Times New Roman"/>
          <w:color w:val="C00000"/>
          <w:sz w:val="24"/>
          <w:szCs w:val="24"/>
        </w:rPr>
        <w:t>extraorçamentário</w:t>
      </w:r>
      <w:proofErr w:type="spellEnd"/>
    </w:p>
    <w:p w:rsidR="00D419A9" w:rsidRDefault="00D419A9" w:rsidP="00913B3F">
      <w:pPr>
        <w:jc w:val="both"/>
        <w:rPr>
          <w:rFonts w:ascii="Times New Roman" w:hAnsi="Times New Roman"/>
          <w:sz w:val="24"/>
          <w:szCs w:val="24"/>
        </w:rPr>
      </w:pPr>
    </w:p>
    <w:p w:rsidR="00371C2D" w:rsidRDefault="00371C2D" w:rsidP="00371C2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D3A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3A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NOTAS EXPLICATIVAS DO BALANÇO PATRIMONIAL</w:t>
      </w:r>
    </w:p>
    <w:p w:rsidR="00AA231F" w:rsidRDefault="00AA231F" w:rsidP="005B70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E3152" w:rsidRPr="0032256A" w:rsidRDefault="00EC3FF4" w:rsidP="00EC3F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 xml:space="preserve">Caixa e equivalente de caixa; </w:t>
      </w:r>
      <w:r w:rsidRPr="0032256A">
        <w:rPr>
          <w:rFonts w:ascii="Times New Roman" w:hAnsi="Times New Roman"/>
          <w:b/>
          <w:bCs/>
          <w:color w:val="C00000"/>
          <w:sz w:val="24"/>
          <w:szCs w:val="24"/>
        </w:rPr>
        <w:t>Créditos</w:t>
      </w:r>
      <w:r w:rsidRPr="0032256A">
        <w:rPr>
          <w:rFonts w:ascii="Times New Roman" w:hAnsi="Times New Roman"/>
          <w:color w:val="C00000"/>
          <w:sz w:val="24"/>
          <w:szCs w:val="24"/>
        </w:rPr>
        <w:t xml:space="preserve"> a Curto Prazo e a Longo Prazo; Imobilizado – inclusive Reavaliações e Reduções ao valor recuperável; </w:t>
      </w:r>
      <w:proofErr w:type="gramStart"/>
      <w:r w:rsidRPr="0032256A">
        <w:rPr>
          <w:rFonts w:ascii="Times New Roman" w:hAnsi="Times New Roman"/>
          <w:color w:val="C00000"/>
          <w:sz w:val="24"/>
          <w:szCs w:val="24"/>
        </w:rPr>
        <w:t>Intangível</w:t>
      </w:r>
      <w:proofErr w:type="gramEnd"/>
    </w:p>
    <w:p w:rsidR="006E3152" w:rsidRPr="0032256A" w:rsidRDefault="00EC3FF4" w:rsidP="00EC3FF4">
      <w:pPr>
        <w:numPr>
          <w:ilvl w:val="0"/>
          <w:numId w:val="3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 xml:space="preserve">Fornecedores; Obrigações Trabalhistas, Previdenciárias e Assistenciais a Curto Prazo e a Longo Prazo; Provisões a Curto Prazo e a Longo Prazo; </w:t>
      </w:r>
    </w:p>
    <w:p w:rsidR="006E3152" w:rsidRPr="0032256A" w:rsidRDefault="00EC3FF4" w:rsidP="00EC3F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lastRenderedPageBreak/>
        <w:t>Demais elementos patrimoniais, quando relevantes.</w:t>
      </w:r>
    </w:p>
    <w:p w:rsidR="006E3152" w:rsidRPr="0032256A" w:rsidRDefault="00EC3FF4" w:rsidP="00EC3FF4">
      <w:pPr>
        <w:numPr>
          <w:ilvl w:val="0"/>
          <w:numId w:val="3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>Ajustes de exercícios anteriores</w:t>
      </w:r>
    </w:p>
    <w:p w:rsidR="006E3152" w:rsidRPr="0032256A" w:rsidRDefault="00EC3FF4" w:rsidP="00EC3F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 xml:space="preserve">Saldos com alterações relevantes, por exemplo dívida ativa, créditos a receber, </w:t>
      </w:r>
      <w:proofErr w:type="spellStart"/>
      <w:r w:rsidRPr="0032256A">
        <w:rPr>
          <w:rFonts w:ascii="Times New Roman" w:hAnsi="Times New Roman"/>
          <w:color w:val="C00000"/>
          <w:sz w:val="24"/>
          <w:szCs w:val="24"/>
        </w:rPr>
        <w:t>divida</w:t>
      </w:r>
      <w:proofErr w:type="spellEnd"/>
      <w:r w:rsidRPr="0032256A">
        <w:rPr>
          <w:rFonts w:ascii="Times New Roman" w:hAnsi="Times New Roman"/>
          <w:color w:val="C00000"/>
          <w:sz w:val="24"/>
          <w:szCs w:val="24"/>
        </w:rPr>
        <w:t xml:space="preserve"> fundada, precatórios</w:t>
      </w:r>
    </w:p>
    <w:p w:rsidR="006E3152" w:rsidRPr="0032256A" w:rsidRDefault="00EC3FF4" w:rsidP="00EC3FF4">
      <w:pPr>
        <w:numPr>
          <w:ilvl w:val="0"/>
          <w:numId w:val="3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>Resultado Financeiro (Superávit ou Déficit)</w:t>
      </w:r>
    </w:p>
    <w:p w:rsidR="0026666C" w:rsidRDefault="0026666C" w:rsidP="005B70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6666C" w:rsidRDefault="0026666C" w:rsidP="0026666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D3A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3A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NOTAS EXPLICATIVAS DAS VARIAÇÕES PATRIMONIAIS</w:t>
      </w:r>
    </w:p>
    <w:p w:rsidR="0026666C" w:rsidRDefault="0026666C" w:rsidP="005B70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E3152" w:rsidRPr="0032256A" w:rsidRDefault="00EC3FF4" w:rsidP="00EC3F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>Analise das variações patrimoniais aumentativas e diminutivas relevantes</w:t>
      </w:r>
    </w:p>
    <w:p w:rsidR="006E3152" w:rsidRPr="0032256A" w:rsidRDefault="00EC3FF4" w:rsidP="00EC3FF4">
      <w:pPr>
        <w:numPr>
          <w:ilvl w:val="0"/>
          <w:numId w:val="4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 xml:space="preserve">Detalhar o resultado patrimonial </w:t>
      </w:r>
    </w:p>
    <w:p w:rsidR="006E3152" w:rsidRPr="0032256A" w:rsidRDefault="00EC3FF4" w:rsidP="00EC3F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32256A">
        <w:rPr>
          <w:rFonts w:ascii="Times New Roman" w:hAnsi="Times New Roman"/>
          <w:color w:val="C00000"/>
          <w:sz w:val="24"/>
          <w:szCs w:val="24"/>
        </w:rPr>
        <w:t xml:space="preserve">Poderão ser apresentadas em notas explicativas, ainda que seus valores não sejam relevantes:  redução ao valor recuperável no ativo imobilizado; baixas de </w:t>
      </w:r>
      <w:proofErr w:type="gramStart"/>
      <w:r w:rsidRPr="0032256A">
        <w:rPr>
          <w:rFonts w:ascii="Times New Roman" w:hAnsi="Times New Roman"/>
          <w:color w:val="C00000"/>
          <w:sz w:val="24"/>
          <w:szCs w:val="24"/>
        </w:rPr>
        <w:t>investimento;  constituição</w:t>
      </w:r>
      <w:proofErr w:type="gramEnd"/>
      <w:r w:rsidRPr="0032256A">
        <w:rPr>
          <w:rFonts w:ascii="Times New Roman" w:hAnsi="Times New Roman"/>
          <w:color w:val="C00000"/>
          <w:sz w:val="24"/>
          <w:szCs w:val="24"/>
        </w:rPr>
        <w:t xml:space="preserve"> ou reversão de provisões. </w:t>
      </w:r>
    </w:p>
    <w:p w:rsidR="00437C1D" w:rsidRDefault="00437C1D" w:rsidP="00F649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6666C" w:rsidRPr="0032256A" w:rsidRDefault="0026666C" w:rsidP="0026666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b/>
          <w:color w:val="943634" w:themeColor="accent2" w:themeShade="BF"/>
          <w:sz w:val="24"/>
          <w:szCs w:val="24"/>
        </w:rPr>
        <w:t>7.  NOTAS EXPLICATIVAS DA DEMONSTRAÇÃO DO FLUXO DE CAIXA</w:t>
      </w:r>
    </w:p>
    <w:p w:rsidR="0026666C" w:rsidRPr="0032256A" w:rsidRDefault="0026666C" w:rsidP="00F649B4">
      <w:pPr>
        <w:autoSpaceDE w:val="0"/>
        <w:autoSpaceDN w:val="0"/>
        <w:adjustRightInd w:val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</w:p>
    <w:p w:rsidR="006E3152" w:rsidRPr="0032256A" w:rsidRDefault="00EC3FF4" w:rsidP="00EC3F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color w:val="943634" w:themeColor="accent2" w:themeShade="BF"/>
          <w:sz w:val="24"/>
          <w:szCs w:val="24"/>
        </w:rPr>
        <w:t>Geração líquida de caixa</w:t>
      </w:r>
    </w:p>
    <w:p w:rsidR="006E3152" w:rsidRPr="0032256A" w:rsidRDefault="00EC3FF4" w:rsidP="00EC3FF4">
      <w:pPr>
        <w:numPr>
          <w:ilvl w:val="0"/>
          <w:numId w:val="5"/>
        </w:numP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color w:val="943634" w:themeColor="accent2" w:themeShade="BF"/>
          <w:sz w:val="24"/>
          <w:szCs w:val="24"/>
        </w:rPr>
        <w:t>As NE devem ser segregadas por tipo de fluxo: das atividades operacionais, de investimentos ou de financiamento</w:t>
      </w:r>
    </w:p>
    <w:p w:rsidR="006E3152" w:rsidRPr="0032256A" w:rsidRDefault="00EC3FF4" w:rsidP="00EC3F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color w:val="943634" w:themeColor="accent2" w:themeShade="BF"/>
          <w:sz w:val="24"/>
          <w:szCs w:val="24"/>
        </w:rPr>
        <w:t>Evidenciar o tratamento adotado para retenções tributárias</w:t>
      </w:r>
    </w:p>
    <w:p w:rsidR="006E3152" w:rsidRPr="0032256A" w:rsidRDefault="00EC3FF4" w:rsidP="00EC3FF4">
      <w:pPr>
        <w:numPr>
          <w:ilvl w:val="0"/>
          <w:numId w:val="5"/>
        </w:numP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color w:val="943634" w:themeColor="accent2" w:themeShade="BF"/>
          <w:sz w:val="24"/>
          <w:szCs w:val="24"/>
        </w:rPr>
        <w:t>Identificação das transações de investimento e financiamento que não envolvem o uso de caixa ou equivalentes de caixa (aquisição financiada de bens)</w:t>
      </w:r>
    </w:p>
    <w:p w:rsidR="0026666C" w:rsidRPr="0032256A" w:rsidRDefault="0026666C" w:rsidP="00F649B4">
      <w:pPr>
        <w:autoSpaceDE w:val="0"/>
        <w:autoSpaceDN w:val="0"/>
        <w:adjustRightInd w:val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</w:p>
    <w:p w:rsidR="001D61D9" w:rsidRPr="0032256A" w:rsidRDefault="001D61D9" w:rsidP="001D61D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b/>
          <w:color w:val="943634" w:themeColor="accent2" w:themeShade="BF"/>
          <w:sz w:val="24"/>
          <w:szCs w:val="24"/>
        </w:rPr>
        <w:t>8.  NOTAS EXPLICATIVAS DA DEMONSTRAÇÃO DAS MUTAÇÕES DO PATRIMÔNIO LÍQUIDO</w:t>
      </w:r>
    </w:p>
    <w:p w:rsidR="001D61D9" w:rsidRPr="0032256A" w:rsidRDefault="001D61D9" w:rsidP="001D61D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</w:p>
    <w:p w:rsidR="006E3152" w:rsidRPr="0032256A" w:rsidRDefault="00EC3FF4" w:rsidP="00EC3F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b/>
          <w:color w:val="943634" w:themeColor="accent2" w:themeShade="BF"/>
          <w:sz w:val="24"/>
          <w:szCs w:val="24"/>
        </w:rPr>
        <w:t>Capital/Patrimônio Social - explicar as motivações das alterações</w:t>
      </w:r>
    </w:p>
    <w:p w:rsidR="006E3152" w:rsidRPr="0032256A" w:rsidRDefault="00EC3FF4" w:rsidP="00EC3FF4">
      <w:pPr>
        <w:numPr>
          <w:ilvl w:val="0"/>
          <w:numId w:val="6"/>
        </w:numP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b/>
          <w:color w:val="943634" w:themeColor="accent2" w:themeShade="BF"/>
          <w:sz w:val="24"/>
          <w:szCs w:val="24"/>
        </w:rPr>
        <w:t>Resultados Acumulados - Detalhar o resultado do exercício; </w:t>
      </w:r>
    </w:p>
    <w:p w:rsidR="006E3152" w:rsidRPr="0032256A" w:rsidRDefault="00EC3FF4" w:rsidP="00EC3F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b/>
          <w:color w:val="943634" w:themeColor="accent2" w:themeShade="BF"/>
          <w:sz w:val="24"/>
          <w:szCs w:val="24"/>
        </w:rPr>
        <w:t>Ajustes dos exercícios anteriores - indicar os ajustes mais relevantes, informando as causas e os reflexos nas demonstrações.</w:t>
      </w:r>
    </w:p>
    <w:p w:rsidR="006E3152" w:rsidRPr="0032256A" w:rsidRDefault="00EC3FF4" w:rsidP="00EC3FF4">
      <w:pPr>
        <w:numPr>
          <w:ilvl w:val="0"/>
          <w:numId w:val="6"/>
        </w:numP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Times New Roman" w:hAnsi="Times New Roman"/>
          <w:b/>
          <w:color w:val="943634" w:themeColor="accent2" w:themeShade="BF"/>
          <w:sz w:val="24"/>
          <w:szCs w:val="24"/>
        </w:rPr>
      </w:pPr>
      <w:r w:rsidRPr="0032256A">
        <w:rPr>
          <w:rFonts w:ascii="Times New Roman" w:hAnsi="Times New Roman"/>
          <w:b/>
          <w:color w:val="943634" w:themeColor="accent2" w:themeShade="BF"/>
          <w:sz w:val="24"/>
          <w:szCs w:val="24"/>
        </w:rPr>
        <w:t>Ajustes de avaliação patrimonial - explicar as transações que geraram lançamento nessa conta.</w:t>
      </w:r>
    </w:p>
    <w:p w:rsidR="001D61D9" w:rsidRDefault="001D61D9" w:rsidP="001D61D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D61D9" w:rsidRDefault="001D61D9" w:rsidP="00F649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D61D9" w:rsidRDefault="001D61D9" w:rsidP="00F649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6666C" w:rsidRDefault="0026666C" w:rsidP="00F649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07DD8" w:rsidRDefault="00D07DD8" w:rsidP="00D07D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05F8" w:rsidRPr="00482113" w:rsidRDefault="005B700B" w:rsidP="0032256A">
      <w:pPr>
        <w:tabs>
          <w:tab w:val="left" w:pos="284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32256A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F005F8" w:rsidRPr="00482113" w:rsidSect="0072358B">
      <w:headerReference w:type="default" r:id="rId8"/>
      <w:type w:val="continuous"/>
      <w:pgSz w:w="11907" w:h="16840" w:code="9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24" w:rsidRDefault="003E5624">
      <w:r>
        <w:separator/>
      </w:r>
    </w:p>
  </w:endnote>
  <w:endnote w:type="continuationSeparator" w:id="0">
    <w:p w:rsidR="003E5624" w:rsidRDefault="003E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-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24" w:rsidRDefault="003E5624">
      <w:r>
        <w:separator/>
      </w:r>
    </w:p>
  </w:footnote>
  <w:footnote w:type="continuationSeparator" w:id="0">
    <w:p w:rsidR="003E5624" w:rsidRDefault="003E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70" w:rsidRDefault="00021A70" w:rsidP="00736720">
    <w:pPr>
      <w:pStyle w:val="Cabealho"/>
      <w:jc w:val="center"/>
    </w:pPr>
    <w:r w:rsidRPr="00C77251">
      <w:rPr>
        <w:rFonts w:ascii="Trebuchet MS" w:hAnsi="Trebuchet MS"/>
        <w:noProof/>
        <w:color w:val="8E8E8E"/>
        <w:sz w:val="18"/>
        <w:szCs w:val="18"/>
      </w:rPr>
      <w:drawing>
        <wp:inline distT="0" distB="0" distL="0" distR="0">
          <wp:extent cx="1053389" cy="790569"/>
          <wp:effectExtent l="0" t="0" r="0" b="0"/>
          <wp:docPr id="3" name="Imagem 1" descr="C:\Documents and Settings\Prefeitura\Meus documentos\Minhas imagens\brasao_pmp_800x6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refeitura\Meus documentos\Minhas imagens\brasao_pmp_800x600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722" cy="790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26"/>
      <w:gridCol w:w="3404"/>
      <w:gridCol w:w="3225"/>
    </w:tblGrid>
    <w:tr w:rsidR="00021A70" w:rsidRPr="00F70160" w:rsidTr="00CC3542">
      <w:trPr>
        <w:trHeight w:val="20"/>
      </w:trPr>
      <w:tc>
        <w:tcPr>
          <w:tcW w:w="3226" w:type="dxa"/>
          <w:tcBorders>
            <w:bottom w:val="single" w:sz="4" w:space="0" w:color="auto"/>
          </w:tcBorders>
          <w:vAlign w:val="center"/>
        </w:tcPr>
        <w:p w:rsidR="00021A70" w:rsidRPr="00F70160" w:rsidRDefault="00021A70" w:rsidP="00FA4081">
          <w:pPr>
            <w:pStyle w:val="Cabealho"/>
            <w:jc w:val="center"/>
            <w:rPr>
              <w:sz w:val="14"/>
              <w:szCs w:val="16"/>
            </w:rPr>
          </w:pPr>
        </w:p>
      </w:tc>
      <w:tc>
        <w:tcPr>
          <w:tcW w:w="3404" w:type="dxa"/>
          <w:vMerge w:val="restart"/>
          <w:vAlign w:val="center"/>
        </w:tcPr>
        <w:p w:rsidR="00021A70" w:rsidRPr="00F70160" w:rsidRDefault="00021A70" w:rsidP="002307B0">
          <w:pPr>
            <w:pStyle w:val="Cabealho"/>
            <w:jc w:val="center"/>
            <w:rPr>
              <w:b/>
              <w:sz w:val="14"/>
              <w:szCs w:val="16"/>
            </w:rPr>
          </w:pPr>
          <w:r w:rsidRPr="00144907">
            <w:rPr>
              <w:b/>
              <w:sz w:val="12"/>
              <w:szCs w:val="12"/>
            </w:rPr>
            <w:t>NOTA</w:t>
          </w:r>
          <w:r>
            <w:rPr>
              <w:b/>
              <w:sz w:val="12"/>
              <w:szCs w:val="12"/>
            </w:rPr>
            <w:t>S</w:t>
          </w:r>
          <w:r w:rsidRPr="00144907">
            <w:rPr>
              <w:b/>
              <w:sz w:val="12"/>
              <w:szCs w:val="12"/>
            </w:rPr>
            <w:t xml:space="preserve"> EXPLICATIVA</w:t>
          </w:r>
          <w:r>
            <w:rPr>
              <w:b/>
              <w:sz w:val="12"/>
              <w:szCs w:val="12"/>
            </w:rPr>
            <w:t>S</w:t>
          </w:r>
          <w:r w:rsidRPr="00144907">
            <w:rPr>
              <w:b/>
              <w:sz w:val="12"/>
              <w:szCs w:val="12"/>
            </w:rPr>
            <w:t xml:space="preserve">: </w:t>
          </w:r>
          <w:r>
            <w:rPr>
              <w:b/>
              <w:sz w:val="12"/>
              <w:szCs w:val="12"/>
            </w:rPr>
            <w:t>MUNICÍPIO DE POMERODE - CONSOLIDADO</w:t>
          </w:r>
        </w:p>
      </w:tc>
      <w:tc>
        <w:tcPr>
          <w:tcW w:w="3225" w:type="dxa"/>
          <w:tcBorders>
            <w:bottom w:val="single" w:sz="4" w:space="0" w:color="auto"/>
          </w:tcBorders>
          <w:vAlign w:val="center"/>
        </w:tcPr>
        <w:p w:rsidR="00021A70" w:rsidRPr="00F70160" w:rsidRDefault="00021A70" w:rsidP="00FA4081">
          <w:pPr>
            <w:pStyle w:val="Cabealho"/>
            <w:jc w:val="center"/>
            <w:rPr>
              <w:sz w:val="14"/>
              <w:szCs w:val="16"/>
            </w:rPr>
          </w:pPr>
        </w:p>
      </w:tc>
    </w:tr>
    <w:tr w:rsidR="00021A70" w:rsidRPr="00F70160" w:rsidTr="00CC3542">
      <w:trPr>
        <w:trHeight w:val="20"/>
      </w:trPr>
      <w:tc>
        <w:tcPr>
          <w:tcW w:w="3226" w:type="dxa"/>
          <w:tcBorders>
            <w:top w:val="single" w:sz="4" w:space="0" w:color="auto"/>
          </w:tcBorders>
          <w:vAlign w:val="center"/>
        </w:tcPr>
        <w:p w:rsidR="00021A70" w:rsidRPr="00F70160" w:rsidRDefault="00021A70" w:rsidP="00FA4081">
          <w:pPr>
            <w:pStyle w:val="Cabealho"/>
            <w:jc w:val="center"/>
            <w:rPr>
              <w:sz w:val="14"/>
              <w:szCs w:val="16"/>
            </w:rPr>
          </w:pPr>
        </w:p>
      </w:tc>
      <w:tc>
        <w:tcPr>
          <w:tcW w:w="3404" w:type="dxa"/>
          <w:vMerge/>
          <w:vAlign w:val="center"/>
        </w:tcPr>
        <w:p w:rsidR="00021A70" w:rsidRPr="00F70160" w:rsidRDefault="00021A70" w:rsidP="00FA4081">
          <w:pPr>
            <w:pStyle w:val="Cabealho"/>
            <w:jc w:val="center"/>
            <w:rPr>
              <w:b/>
              <w:sz w:val="14"/>
              <w:szCs w:val="16"/>
            </w:rPr>
          </w:pPr>
        </w:p>
      </w:tc>
      <w:tc>
        <w:tcPr>
          <w:tcW w:w="3225" w:type="dxa"/>
          <w:tcBorders>
            <w:top w:val="single" w:sz="4" w:space="0" w:color="auto"/>
          </w:tcBorders>
          <w:vAlign w:val="center"/>
        </w:tcPr>
        <w:p w:rsidR="00021A70" w:rsidRPr="00F70160" w:rsidRDefault="00021A70" w:rsidP="00FA4081">
          <w:pPr>
            <w:pStyle w:val="Cabealho"/>
            <w:jc w:val="center"/>
            <w:rPr>
              <w:sz w:val="14"/>
              <w:szCs w:val="16"/>
            </w:rPr>
          </w:pPr>
        </w:p>
      </w:tc>
    </w:tr>
  </w:tbl>
  <w:p w:rsidR="00021A70" w:rsidRDefault="00021A70" w:rsidP="0073672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C04"/>
    <w:multiLevelType w:val="hybridMultilevel"/>
    <w:tmpl w:val="70A015C0"/>
    <w:lvl w:ilvl="0" w:tplc="B8C02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C9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E9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2B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6D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4F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46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A2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2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1311F1"/>
    <w:multiLevelType w:val="hybridMultilevel"/>
    <w:tmpl w:val="0F383D0C"/>
    <w:lvl w:ilvl="0" w:tplc="7A3A8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25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CD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02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5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69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8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4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6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EC5165"/>
    <w:multiLevelType w:val="hybridMultilevel"/>
    <w:tmpl w:val="C64A824E"/>
    <w:lvl w:ilvl="0" w:tplc="75BE9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E2D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8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E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C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43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45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2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43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F94CF9"/>
    <w:multiLevelType w:val="hybridMultilevel"/>
    <w:tmpl w:val="6BCE2AB6"/>
    <w:lvl w:ilvl="0" w:tplc="0024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4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E8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61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A0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4F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E4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8A9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8BA30D9"/>
    <w:multiLevelType w:val="hybridMultilevel"/>
    <w:tmpl w:val="518618AE"/>
    <w:lvl w:ilvl="0" w:tplc="2CF4F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2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2F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6C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E2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A7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CB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0CE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1C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49A2AFD"/>
    <w:multiLevelType w:val="hybridMultilevel"/>
    <w:tmpl w:val="BDEEFFEA"/>
    <w:lvl w:ilvl="0" w:tplc="3D48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2A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2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A8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E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4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A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6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DA"/>
    <w:rsid w:val="00000AEF"/>
    <w:rsid w:val="0000179C"/>
    <w:rsid w:val="0000299E"/>
    <w:rsid w:val="00003D2D"/>
    <w:rsid w:val="00003DF1"/>
    <w:rsid w:val="00005134"/>
    <w:rsid w:val="0000635A"/>
    <w:rsid w:val="00010CE0"/>
    <w:rsid w:val="0001207F"/>
    <w:rsid w:val="0001281F"/>
    <w:rsid w:val="00013F0F"/>
    <w:rsid w:val="00016C8B"/>
    <w:rsid w:val="00016DB2"/>
    <w:rsid w:val="00020445"/>
    <w:rsid w:val="00021A70"/>
    <w:rsid w:val="00022510"/>
    <w:rsid w:val="0002545F"/>
    <w:rsid w:val="00025462"/>
    <w:rsid w:val="00032E64"/>
    <w:rsid w:val="00033D5F"/>
    <w:rsid w:val="00035DF0"/>
    <w:rsid w:val="000363DF"/>
    <w:rsid w:val="00036702"/>
    <w:rsid w:val="00037B14"/>
    <w:rsid w:val="00041DC0"/>
    <w:rsid w:val="00043C07"/>
    <w:rsid w:val="00044D17"/>
    <w:rsid w:val="00045672"/>
    <w:rsid w:val="000456DA"/>
    <w:rsid w:val="0005160A"/>
    <w:rsid w:val="00051712"/>
    <w:rsid w:val="000520CC"/>
    <w:rsid w:val="00053BE4"/>
    <w:rsid w:val="00054798"/>
    <w:rsid w:val="0005550C"/>
    <w:rsid w:val="00057689"/>
    <w:rsid w:val="0006191A"/>
    <w:rsid w:val="000622BA"/>
    <w:rsid w:val="0006249B"/>
    <w:rsid w:val="0006510F"/>
    <w:rsid w:val="00065B2D"/>
    <w:rsid w:val="00065DD5"/>
    <w:rsid w:val="000700E4"/>
    <w:rsid w:val="0007074C"/>
    <w:rsid w:val="00072947"/>
    <w:rsid w:val="00073E96"/>
    <w:rsid w:val="00075915"/>
    <w:rsid w:val="00076C9D"/>
    <w:rsid w:val="00076DBA"/>
    <w:rsid w:val="00076EBA"/>
    <w:rsid w:val="000802B0"/>
    <w:rsid w:val="000814EE"/>
    <w:rsid w:val="000816A6"/>
    <w:rsid w:val="000824CF"/>
    <w:rsid w:val="00084D30"/>
    <w:rsid w:val="00085D22"/>
    <w:rsid w:val="00087280"/>
    <w:rsid w:val="0009020B"/>
    <w:rsid w:val="00094A29"/>
    <w:rsid w:val="00097243"/>
    <w:rsid w:val="000A0E7B"/>
    <w:rsid w:val="000A3415"/>
    <w:rsid w:val="000A4D71"/>
    <w:rsid w:val="000A7C25"/>
    <w:rsid w:val="000B0404"/>
    <w:rsid w:val="000B3CF6"/>
    <w:rsid w:val="000B44D0"/>
    <w:rsid w:val="000B7B74"/>
    <w:rsid w:val="000B7B99"/>
    <w:rsid w:val="000C1680"/>
    <w:rsid w:val="000C504C"/>
    <w:rsid w:val="000D1703"/>
    <w:rsid w:val="000D6664"/>
    <w:rsid w:val="000D7079"/>
    <w:rsid w:val="000E00C8"/>
    <w:rsid w:val="000E4668"/>
    <w:rsid w:val="000E5C88"/>
    <w:rsid w:val="000E6887"/>
    <w:rsid w:val="000F658F"/>
    <w:rsid w:val="001007E7"/>
    <w:rsid w:val="00100BA5"/>
    <w:rsid w:val="00102E8E"/>
    <w:rsid w:val="0010634C"/>
    <w:rsid w:val="00106AB8"/>
    <w:rsid w:val="0010770C"/>
    <w:rsid w:val="00111880"/>
    <w:rsid w:val="00112A13"/>
    <w:rsid w:val="00112DA1"/>
    <w:rsid w:val="00113E4A"/>
    <w:rsid w:val="00120500"/>
    <w:rsid w:val="00121119"/>
    <w:rsid w:val="00124809"/>
    <w:rsid w:val="00132A18"/>
    <w:rsid w:val="0013353D"/>
    <w:rsid w:val="0013748C"/>
    <w:rsid w:val="001406AA"/>
    <w:rsid w:val="00144FB1"/>
    <w:rsid w:val="00147043"/>
    <w:rsid w:val="00147ED0"/>
    <w:rsid w:val="0015162E"/>
    <w:rsid w:val="00152A0B"/>
    <w:rsid w:val="001537F9"/>
    <w:rsid w:val="00156FE4"/>
    <w:rsid w:val="0016195C"/>
    <w:rsid w:val="00163B44"/>
    <w:rsid w:val="00166D31"/>
    <w:rsid w:val="00170107"/>
    <w:rsid w:val="001717F9"/>
    <w:rsid w:val="00173209"/>
    <w:rsid w:val="0017733B"/>
    <w:rsid w:val="00177A68"/>
    <w:rsid w:val="00177BB4"/>
    <w:rsid w:val="00180EAD"/>
    <w:rsid w:val="00182D85"/>
    <w:rsid w:val="00182D9C"/>
    <w:rsid w:val="00183854"/>
    <w:rsid w:val="00185AC0"/>
    <w:rsid w:val="00186CD5"/>
    <w:rsid w:val="00186F26"/>
    <w:rsid w:val="001877A9"/>
    <w:rsid w:val="0019104E"/>
    <w:rsid w:val="00192813"/>
    <w:rsid w:val="00196E20"/>
    <w:rsid w:val="00197B77"/>
    <w:rsid w:val="001A07C2"/>
    <w:rsid w:val="001A1A8C"/>
    <w:rsid w:val="001A2DCC"/>
    <w:rsid w:val="001A5110"/>
    <w:rsid w:val="001A7EFB"/>
    <w:rsid w:val="001B0247"/>
    <w:rsid w:val="001B050A"/>
    <w:rsid w:val="001B2B22"/>
    <w:rsid w:val="001B44C9"/>
    <w:rsid w:val="001B7A6F"/>
    <w:rsid w:val="001B7FC8"/>
    <w:rsid w:val="001C0E17"/>
    <w:rsid w:val="001C1A28"/>
    <w:rsid w:val="001C2BB3"/>
    <w:rsid w:val="001C71EF"/>
    <w:rsid w:val="001C72C7"/>
    <w:rsid w:val="001D1A3F"/>
    <w:rsid w:val="001D4165"/>
    <w:rsid w:val="001D4760"/>
    <w:rsid w:val="001D5ABD"/>
    <w:rsid w:val="001D61D9"/>
    <w:rsid w:val="001D6ECA"/>
    <w:rsid w:val="001D77CA"/>
    <w:rsid w:val="001E0596"/>
    <w:rsid w:val="001E08A6"/>
    <w:rsid w:val="001E0AB5"/>
    <w:rsid w:val="001E1339"/>
    <w:rsid w:val="001E1C0D"/>
    <w:rsid w:val="001E1E14"/>
    <w:rsid w:val="001F0173"/>
    <w:rsid w:val="001F7F62"/>
    <w:rsid w:val="00200690"/>
    <w:rsid w:val="0020388E"/>
    <w:rsid w:val="00205E2C"/>
    <w:rsid w:val="002068C7"/>
    <w:rsid w:val="002071FD"/>
    <w:rsid w:val="0021181B"/>
    <w:rsid w:val="00211B70"/>
    <w:rsid w:val="00211FA8"/>
    <w:rsid w:val="0021661D"/>
    <w:rsid w:val="00222CD4"/>
    <w:rsid w:val="00226DC9"/>
    <w:rsid w:val="002307B0"/>
    <w:rsid w:val="00233DCF"/>
    <w:rsid w:val="002358B5"/>
    <w:rsid w:val="00240278"/>
    <w:rsid w:val="00241AD6"/>
    <w:rsid w:val="00244F1C"/>
    <w:rsid w:val="00246D80"/>
    <w:rsid w:val="00251D50"/>
    <w:rsid w:val="00260801"/>
    <w:rsid w:val="00261FA2"/>
    <w:rsid w:val="0026312F"/>
    <w:rsid w:val="00263265"/>
    <w:rsid w:val="0026556C"/>
    <w:rsid w:val="002659B6"/>
    <w:rsid w:val="00265C0B"/>
    <w:rsid w:val="00265F46"/>
    <w:rsid w:val="0026666C"/>
    <w:rsid w:val="00271F92"/>
    <w:rsid w:val="00272B35"/>
    <w:rsid w:val="002740CE"/>
    <w:rsid w:val="00274889"/>
    <w:rsid w:val="00274A9B"/>
    <w:rsid w:val="00275117"/>
    <w:rsid w:val="002772BD"/>
    <w:rsid w:val="002776A2"/>
    <w:rsid w:val="00280A23"/>
    <w:rsid w:val="00280F28"/>
    <w:rsid w:val="002838C4"/>
    <w:rsid w:val="00285FC0"/>
    <w:rsid w:val="00293922"/>
    <w:rsid w:val="002A0A05"/>
    <w:rsid w:val="002A3393"/>
    <w:rsid w:val="002A5205"/>
    <w:rsid w:val="002A64BA"/>
    <w:rsid w:val="002A7F47"/>
    <w:rsid w:val="002B01E9"/>
    <w:rsid w:val="002B234D"/>
    <w:rsid w:val="002B3FA4"/>
    <w:rsid w:val="002B6C4F"/>
    <w:rsid w:val="002C7EF7"/>
    <w:rsid w:val="002D1DDC"/>
    <w:rsid w:val="002D2296"/>
    <w:rsid w:val="002D26F2"/>
    <w:rsid w:val="002D2C7A"/>
    <w:rsid w:val="002D306B"/>
    <w:rsid w:val="002D3115"/>
    <w:rsid w:val="002D4759"/>
    <w:rsid w:val="002E0D84"/>
    <w:rsid w:val="002E7A64"/>
    <w:rsid w:val="002F0715"/>
    <w:rsid w:val="002F1CF2"/>
    <w:rsid w:val="002F4118"/>
    <w:rsid w:val="00300ACE"/>
    <w:rsid w:val="00300C08"/>
    <w:rsid w:val="003038D6"/>
    <w:rsid w:val="00306183"/>
    <w:rsid w:val="003077B8"/>
    <w:rsid w:val="00312EDA"/>
    <w:rsid w:val="00313EAC"/>
    <w:rsid w:val="00314F5D"/>
    <w:rsid w:val="0031570C"/>
    <w:rsid w:val="0032256A"/>
    <w:rsid w:val="00322887"/>
    <w:rsid w:val="003234AF"/>
    <w:rsid w:val="00324A4A"/>
    <w:rsid w:val="00330A20"/>
    <w:rsid w:val="00333EA0"/>
    <w:rsid w:val="00334353"/>
    <w:rsid w:val="00335246"/>
    <w:rsid w:val="00345902"/>
    <w:rsid w:val="0035318F"/>
    <w:rsid w:val="0035484D"/>
    <w:rsid w:val="00354D92"/>
    <w:rsid w:val="00356150"/>
    <w:rsid w:val="0036031A"/>
    <w:rsid w:val="0036073B"/>
    <w:rsid w:val="0036082F"/>
    <w:rsid w:val="00363BD3"/>
    <w:rsid w:val="0036435D"/>
    <w:rsid w:val="00364573"/>
    <w:rsid w:val="003652B9"/>
    <w:rsid w:val="003655CE"/>
    <w:rsid w:val="00367C74"/>
    <w:rsid w:val="00370E21"/>
    <w:rsid w:val="00371C2D"/>
    <w:rsid w:val="0037371D"/>
    <w:rsid w:val="0037436E"/>
    <w:rsid w:val="00375767"/>
    <w:rsid w:val="00376FB0"/>
    <w:rsid w:val="00382815"/>
    <w:rsid w:val="00383B69"/>
    <w:rsid w:val="003848C1"/>
    <w:rsid w:val="003848E3"/>
    <w:rsid w:val="003854AB"/>
    <w:rsid w:val="003855DC"/>
    <w:rsid w:val="00385F92"/>
    <w:rsid w:val="00397349"/>
    <w:rsid w:val="003A149D"/>
    <w:rsid w:val="003A3853"/>
    <w:rsid w:val="003A4AF9"/>
    <w:rsid w:val="003A548A"/>
    <w:rsid w:val="003A6E70"/>
    <w:rsid w:val="003A78BF"/>
    <w:rsid w:val="003B446A"/>
    <w:rsid w:val="003C23A1"/>
    <w:rsid w:val="003C3F48"/>
    <w:rsid w:val="003C634F"/>
    <w:rsid w:val="003C77EC"/>
    <w:rsid w:val="003C7824"/>
    <w:rsid w:val="003D148B"/>
    <w:rsid w:val="003D1ECF"/>
    <w:rsid w:val="003D6CD1"/>
    <w:rsid w:val="003E0B3C"/>
    <w:rsid w:val="003E39BD"/>
    <w:rsid w:val="003E5624"/>
    <w:rsid w:val="003E6CBA"/>
    <w:rsid w:val="003E6D4A"/>
    <w:rsid w:val="003F1FAA"/>
    <w:rsid w:val="003F3F42"/>
    <w:rsid w:val="003F50EA"/>
    <w:rsid w:val="003F59C1"/>
    <w:rsid w:val="0040041B"/>
    <w:rsid w:val="004006EF"/>
    <w:rsid w:val="00402FAD"/>
    <w:rsid w:val="00403460"/>
    <w:rsid w:val="00404851"/>
    <w:rsid w:val="00404B32"/>
    <w:rsid w:val="00407E9A"/>
    <w:rsid w:val="00410101"/>
    <w:rsid w:val="004106DE"/>
    <w:rsid w:val="004114D6"/>
    <w:rsid w:val="004116FB"/>
    <w:rsid w:val="00421B0A"/>
    <w:rsid w:val="00422E75"/>
    <w:rsid w:val="004238E8"/>
    <w:rsid w:val="0042460F"/>
    <w:rsid w:val="00425B84"/>
    <w:rsid w:val="004276AB"/>
    <w:rsid w:val="00427819"/>
    <w:rsid w:val="00433045"/>
    <w:rsid w:val="00433C3F"/>
    <w:rsid w:val="004347BB"/>
    <w:rsid w:val="004354D3"/>
    <w:rsid w:val="00436227"/>
    <w:rsid w:val="00437C1D"/>
    <w:rsid w:val="00440D4D"/>
    <w:rsid w:val="00442397"/>
    <w:rsid w:val="00442B28"/>
    <w:rsid w:val="004436D7"/>
    <w:rsid w:val="004454BD"/>
    <w:rsid w:val="00447A97"/>
    <w:rsid w:val="00454320"/>
    <w:rsid w:val="00460004"/>
    <w:rsid w:val="00462F66"/>
    <w:rsid w:val="004632E8"/>
    <w:rsid w:val="00466344"/>
    <w:rsid w:val="00470AA0"/>
    <w:rsid w:val="00471B96"/>
    <w:rsid w:val="004777E5"/>
    <w:rsid w:val="00477A44"/>
    <w:rsid w:val="00482113"/>
    <w:rsid w:val="004842DD"/>
    <w:rsid w:val="00490565"/>
    <w:rsid w:val="0049198C"/>
    <w:rsid w:val="0049585F"/>
    <w:rsid w:val="00495D20"/>
    <w:rsid w:val="00496FB4"/>
    <w:rsid w:val="004977BC"/>
    <w:rsid w:val="004A34CF"/>
    <w:rsid w:val="004A4081"/>
    <w:rsid w:val="004A507F"/>
    <w:rsid w:val="004A6EFC"/>
    <w:rsid w:val="004A6F67"/>
    <w:rsid w:val="004A72DA"/>
    <w:rsid w:val="004A7770"/>
    <w:rsid w:val="004A7D24"/>
    <w:rsid w:val="004B117F"/>
    <w:rsid w:val="004B4ECA"/>
    <w:rsid w:val="004B75FD"/>
    <w:rsid w:val="004C0CAA"/>
    <w:rsid w:val="004C2FCF"/>
    <w:rsid w:val="004C5207"/>
    <w:rsid w:val="004C5A14"/>
    <w:rsid w:val="004C67CA"/>
    <w:rsid w:val="004D0A50"/>
    <w:rsid w:val="004D42AB"/>
    <w:rsid w:val="004D64FB"/>
    <w:rsid w:val="004D7900"/>
    <w:rsid w:val="004E2D3F"/>
    <w:rsid w:val="004E3C3A"/>
    <w:rsid w:val="004F1807"/>
    <w:rsid w:val="004F3441"/>
    <w:rsid w:val="005011C1"/>
    <w:rsid w:val="00502896"/>
    <w:rsid w:val="0050767C"/>
    <w:rsid w:val="00507BA0"/>
    <w:rsid w:val="0051007B"/>
    <w:rsid w:val="005128B5"/>
    <w:rsid w:val="0051298D"/>
    <w:rsid w:val="005148A9"/>
    <w:rsid w:val="005165F3"/>
    <w:rsid w:val="00517B7C"/>
    <w:rsid w:val="0052265C"/>
    <w:rsid w:val="00524663"/>
    <w:rsid w:val="00525A13"/>
    <w:rsid w:val="00525B3D"/>
    <w:rsid w:val="005326C5"/>
    <w:rsid w:val="0053294F"/>
    <w:rsid w:val="00541A71"/>
    <w:rsid w:val="0054431A"/>
    <w:rsid w:val="00545DCC"/>
    <w:rsid w:val="0054677F"/>
    <w:rsid w:val="00547759"/>
    <w:rsid w:val="005503CA"/>
    <w:rsid w:val="00550748"/>
    <w:rsid w:val="005518F7"/>
    <w:rsid w:val="0055343D"/>
    <w:rsid w:val="00556300"/>
    <w:rsid w:val="00557A46"/>
    <w:rsid w:val="00560BDC"/>
    <w:rsid w:val="00560E51"/>
    <w:rsid w:val="005627A7"/>
    <w:rsid w:val="0056547E"/>
    <w:rsid w:val="00566DD7"/>
    <w:rsid w:val="00572DE8"/>
    <w:rsid w:val="005747CD"/>
    <w:rsid w:val="005769F3"/>
    <w:rsid w:val="00577FE9"/>
    <w:rsid w:val="00580323"/>
    <w:rsid w:val="005809C6"/>
    <w:rsid w:val="00586436"/>
    <w:rsid w:val="005878AA"/>
    <w:rsid w:val="00594571"/>
    <w:rsid w:val="0059604D"/>
    <w:rsid w:val="00596788"/>
    <w:rsid w:val="005A1CD7"/>
    <w:rsid w:val="005B06AE"/>
    <w:rsid w:val="005B3F12"/>
    <w:rsid w:val="005B5499"/>
    <w:rsid w:val="005B554F"/>
    <w:rsid w:val="005B57FC"/>
    <w:rsid w:val="005B700B"/>
    <w:rsid w:val="005C38B0"/>
    <w:rsid w:val="005C4173"/>
    <w:rsid w:val="005C5479"/>
    <w:rsid w:val="005C5A5F"/>
    <w:rsid w:val="005C5DB6"/>
    <w:rsid w:val="005D1391"/>
    <w:rsid w:val="005D5C12"/>
    <w:rsid w:val="005D6FCB"/>
    <w:rsid w:val="005D75E6"/>
    <w:rsid w:val="005E02A5"/>
    <w:rsid w:val="005F2C47"/>
    <w:rsid w:val="005F2E0E"/>
    <w:rsid w:val="005F4AA6"/>
    <w:rsid w:val="006007BB"/>
    <w:rsid w:val="00605DB0"/>
    <w:rsid w:val="00613200"/>
    <w:rsid w:val="0061368E"/>
    <w:rsid w:val="00613E35"/>
    <w:rsid w:val="00613E5A"/>
    <w:rsid w:val="00614B55"/>
    <w:rsid w:val="0061588E"/>
    <w:rsid w:val="0061603B"/>
    <w:rsid w:val="00617165"/>
    <w:rsid w:val="00621E27"/>
    <w:rsid w:val="006240C0"/>
    <w:rsid w:val="00625029"/>
    <w:rsid w:val="00636CBF"/>
    <w:rsid w:val="00637DA3"/>
    <w:rsid w:val="0064047B"/>
    <w:rsid w:val="006426BD"/>
    <w:rsid w:val="00646C0D"/>
    <w:rsid w:val="00646F01"/>
    <w:rsid w:val="00647C1C"/>
    <w:rsid w:val="00650803"/>
    <w:rsid w:val="006525F7"/>
    <w:rsid w:val="00652AAE"/>
    <w:rsid w:val="00657703"/>
    <w:rsid w:val="00660109"/>
    <w:rsid w:val="006611BE"/>
    <w:rsid w:val="0066148D"/>
    <w:rsid w:val="00662088"/>
    <w:rsid w:val="00662EA7"/>
    <w:rsid w:val="0066415D"/>
    <w:rsid w:val="006661D2"/>
    <w:rsid w:val="00670F38"/>
    <w:rsid w:val="0067361E"/>
    <w:rsid w:val="00676487"/>
    <w:rsid w:val="00677A53"/>
    <w:rsid w:val="00680822"/>
    <w:rsid w:val="0068167C"/>
    <w:rsid w:val="0068253A"/>
    <w:rsid w:val="00683332"/>
    <w:rsid w:val="006867E3"/>
    <w:rsid w:val="00686B72"/>
    <w:rsid w:val="00687CC0"/>
    <w:rsid w:val="00694463"/>
    <w:rsid w:val="00695574"/>
    <w:rsid w:val="006A3940"/>
    <w:rsid w:val="006A3AA9"/>
    <w:rsid w:val="006A5333"/>
    <w:rsid w:val="006A7DD1"/>
    <w:rsid w:val="006B0ED1"/>
    <w:rsid w:val="006C0046"/>
    <w:rsid w:val="006C00AE"/>
    <w:rsid w:val="006C0881"/>
    <w:rsid w:val="006C0CE8"/>
    <w:rsid w:val="006C128A"/>
    <w:rsid w:val="006C3F7E"/>
    <w:rsid w:val="006C5443"/>
    <w:rsid w:val="006C5FE2"/>
    <w:rsid w:val="006D055D"/>
    <w:rsid w:val="006D3A96"/>
    <w:rsid w:val="006D4332"/>
    <w:rsid w:val="006D566D"/>
    <w:rsid w:val="006E3152"/>
    <w:rsid w:val="006E39D9"/>
    <w:rsid w:val="006F1354"/>
    <w:rsid w:val="006F4023"/>
    <w:rsid w:val="006F655A"/>
    <w:rsid w:val="00700B74"/>
    <w:rsid w:val="0070182A"/>
    <w:rsid w:val="007102B6"/>
    <w:rsid w:val="007132EE"/>
    <w:rsid w:val="00713A0C"/>
    <w:rsid w:val="00715222"/>
    <w:rsid w:val="00715447"/>
    <w:rsid w:val="00721144"/>
    <w:rsid w:val="0072358B"/>
    <w:rsid w:val="00727AAF"/>
    <w:rsid w:val="0073058A"/>
    <w:rsid w:val="00730914"/>
    <w:rsid w:val="00732343"/>
    <w:rsid w:val="00733B60"/>
    <w:rsid w:val="00734BF8"/>
    <w:rsid w:val="00736720"/>
    <w:rsid w:val="00744F4D"/>
    <w:rsid w:val="007451F1"/>
    <w:rsid w:val="00746DE1"/>
    <w:rsid w:val="00747854"/>
    <w:rsid w:val="00747F04"/>
    <w:rsid w:val="00752252"/>
    <w:rsid w:val="00754DD9"/>
    <w:rsid w:val="0075607E"/>
    <w:rsid w:val="0075612B"/>
    <w:rsid w:val="00756D05"/>
    <w:rsid w:val="00761275"/>
    <w:rsid w:val="007649F8"/>
    <w:rsid w:val="00764CCB"/>
    <w:rsid w:val="007655C6"/>
    <w:rsid w:val="0076715D"/>
    <w:rsid w:val="00771069"/>
    <w:rsid w:val="00771C10"/>
    <w:rsid w:val="00772197"/>
    <w:rsid w:val="00774554"/>
    <w:rsid w:val="00774645"/>
    <w:rsid w:val="00775368"/>
    <w:rsid w:val="007829B2"/>
    <w:rsid w:val="00783993"/>
    <w:rsid w:val="0078761F"/>
    <w:rsid w:val="007925F7"/>
    <w:rsid w:val="007973BC"/>
    <w:rsid w:val="007A1CC5"/>
    <w:rsid w:val="007A5241"/>
    <w:rsid w:val="007A605A"/>
    <w:rsid w:val="007A6270"/>
    <w:rsid w:val="007A637B"/>
    <w:rsid w:val="007A6727"/>
    <w:rsid w:val="007B16AE"/>
    <w:rsid w:val="007B1C2D"/>
    <w:rsid w:val="007B1F60"/>
    <w:rsid w:val="007B3685"/>
    <w:rsid w:val="007B4435"/>
    <w:rsid w:val="007D1632"/>
    <w:rsid w:val="007D23F6"/>
    <w:rsid w:val="007E156D"/>
    <w:rsid w:val="007E271E"/>
    <w:rsid w:val="007E4169"/>
    <w:rsid w:val="007E5927"/>
    <w:rsid w:val="007E5B16"/>
    <w:rsid w:val="007E6AA5"/>
    <w:rsid w:val="007E6FDF"/>
    <w:rsid w:val="007E796E"/>
    <w:rsid w:val="007F01D9"/>
    <w:rsid w:val="007F0412"/>
    <w:rsid w:val="007F1568"/>
    <w:rsid w:val="007F1C49"/>
    <w:rsid w:val="007F3025"/>
    <w:rsid w:val="008050A0"/>
    <w:rsid w:val="00805E0B"/>
    <w:rsid w:val="008079AF"/>
    <w:rsid w:val="00811962"/>
    <w:rsid w:val="0081497A"/>
    <w:rsid w:val="00815367"/>
    <w:rsid w:val="00820A8B"/>
    <w:rsid w:val="00827889"/>
    <w:rsid w:val="00833435"/>
    <w:rsid w:val="00833AAE"/>
    <w:rsid w:val="008419F9"/>
    <w:rsid w:val="00841F3B"/>
    <w:rsid w:val="00860560"/>
    <w:rsid w:val="008605C3"/>
    <w:rsid w:val="008638AA"/>
    <w:rsid w:val="00863F55"/>
    <w:rsid w:val="00865B80"/>
    <w:rsid w:val="0086614E"/>
    <w:rsid w:val="00867B41"/>
    <w:rsid w:val="00867BA2"/>
    <w:rsid w:val="00870E22"/>
    <w:rsid w:val="00871E74"/>
    <w:rsid w:val="00873E9B"/>
    <w:rsid w:val="00874782"/>
    <w:rsid w:val="00874D61"/>
    <w:rsid w:val="00875EDF"/>
    <w:rsid w:val="00876FC4"/>
    <w:rsid w:val="00876FC6"/>
    <w:rsid w:val="00877F08"/>
    <w:rsid w:val="00880D48"/>
    <w:rsid w:val="0088217C"/>
    <w:rsid w:val="00882987"/>
    <w:rsid w:val="008867E6"/>
    <w:rsid w:val="00893B45"/>
    <w:rsid w:val="00894FD8"/>
    <w:rsid w:val="00895A46"/>
    <w:rsid w:val="00895B30"/>
    <w:rsid w:val="00896744"/>
    <w:rsid w:val="008A09D6"/>
    <w:rsid w:val="008A2383"/>
    <w:rsid w:val="008A2CA3"/>
    <w:rsid w:val="008A331D"/>
    <w:rsid w:val="008A340F"/>
    <w:rsid w:val="008A3E5A"/>
    <w:rsid w:val="008A6562"/>
    <w:rsid w:val="008B7C0A"/>
    <w:rsid w:val="008C1530"/>
    <w:rsid w:val="008C242A"/>
    <w:rsid w:val="008C2B85"/>
    <w:rsid w:val="008C4810"/>
    <w:rsid w:val="008C5E53"/>
    <w:rsid w:val="008C66C1"/>
    <w:rsid w:val="008C6A56"/>
    <w:rsid w:val="008C6C6D"/>
    <w:rsid w:val="008D331D"/>
    <w:rsid w:val="008D4DC8"/>
    <w:rsid w:val="008D6E15"/>
    <w:rsid w:val="008E0EB1"/>
    <w:rsid w:val="008E16DA"/>
    <w:rsid w:val="008E1DA6"/>
    <w:rsid w:val="008E2A9B"/>
    <w:rsid w:val="008E3908"/>
    <w:rsid w:val="008E40A1"/>
    <w:rsid w:val="008E4875"/>
    <w:rsid w:val="008E4FE9"/>
    <w:rsid w:val="008E5204"/>
    <w:rsid w:val="008E6814"/>
    <w:rsid w:val="008E6999"/>
    <w:rsid w:val="008F3C2B"/>
    <w:rsid w:val="008F4BCF"/>
    <w:rsid w:val="0090209B"/>
    <w:rsid w:val="00902E07"/>
    <w:rsid w:val="00904585"/>
    <w:rsid w:val="00905A3E"/>
    <w:rsid w:val="009078BD"/>
    <w:rsid w:val="00907BF5"/>
    <w:rsid w:val="00911150"/>
    <w:rsid w:val="0091159C"/>
    <w:rsid w:val="009116C8"/>
    <w:rsid w:val="00912242"/>
    <w:rsid w:val="00913B3F"/>
    <w:rsid w:val="00916F61"/>
    <w:rsid w:val="009177AF"/>
    <w:rsid w:val="0092276B"/>
    <w:rsid w:val="00924BFA"/>
    <w:rsid w:val="00924C10"/>
    <w:rsid w:val="00925D89"/>
    <w:rsid w:val="00925F4D"/>
    <w:rsid w:val="0092729B"/>
    <w:rsid w:val="009303B0"/>
    <w:rsid w:val="0093058D"/>
    <w:rsid w:val="0093062F"/>
    <w:rsid w:val="00930F0C"/>
    <w:rsid w:val="0093172E"/>
    <w:rsid w:val="009354CD"/>
    <w:rsid w:val="00935542"/>
    <w:rsid w:val="00935FE2"/>
    <w:rsid w:val="00946A51"/>
    <w:rsid w:val="00947B13"/>
    <w:rsid w:val="0095206F"/>
    <w:rsid w:val="00952794"/>
    <w:rsid w:val="00952D32"/>
    <w:rsid w:val="009542E3"/>
    <w:rsid w:val="00956BD7"/>
    <w:rsid w:val="0096121D"/>
    <w:rsid w:val="00962730"/>
    <w:rsid w:val="00964730"/>
    <w:rsid w:val="00971D5D"/>
    <w:rsid w:val="00974414"/>
    <w:rsid w:val="00975430"/>
    <w:rsid w:val="009846F4"/>
    <w:rsid w:val="009A3547"/>
    <w:rsid w:val="009A43E7"/>
    <w:rsid w:val="009B02DB"/>
    <w:rsid w:val="009B06E9"/>
    <w:rsid w:val="009B4F93"/>
    <w:rsid w:val="009B5A0F"/>
    <w:rsid w:val="009C291F"/>
    <w:rsid w:val="009C612A"/>
    <w:rsid w:val="009C6ECE"/>
    <w:rsid w:val="009D0EAA"/>
    <w:rsid w:val="009D1BB6"/>
    <w:rsid w:val="009D403D"/>
    <w:rsid w:val="009D74C8"/>
    <w:rsid w:val="009E323C"/>
    <w:rsid w:val="009E4231"/>
    <w:rsid w:val="009E5CB7"/>
    <w:rsid w:val="009E6F66"/>
    <w:rsid w:val="009F5A24"/>
    <w:rsid w:val="009F77F4"/>
    <w:rsid w:val="00A00E8A"/>
    <w:rsid w:val="00A04927"/>
    <w:rsid w:val="00A077D5"/>
    <w:rsid w:val="00A105D5"/>
    <w:rsid w:val="00A10945"/>
    <w:rsid w:val="00A11561"/>
    <w:rsid w:val="00A1184D"/>
    <w:rsid w:val="00A11C97"/>
    <w:rsid w:val="00A2170E"/>
    <w:rsid w:val="00A254E4"/>
    <w:rsid w:val="00A30200"/>
    <w:rsid w:val="00A35998"/>
    <w:rsid w:val="00A37B78"/>
    <w:rsid w:val="00A37DD0"/>
    <w:rsid w:val="00A4099F"/>
    <w:rsid w:val="00A414C2"/>
    <w:rsid w:val="00A4525F"/>
    <w:rsid w:val="00A52BD4"/>
    <w:rsid w:val="00A554F6"/>
    <w:rsid w:val="00A55C37"/>
    <w:rsid w:val="00A57D6D"/>
    <w:rsid w:val="00A623F9"/>
    <w:rsid w:val="00A63DB8"/>
    <w:rsid w:val="00A65C77"/>
    <w:rsid w:val="00A71EF9"/>
    <w:rsid w:val="00A743D7"/>
    <w:rsid w:val="00A74EA0"/>
    <w:rsid w:val="00A87188"/>
    <w:rsid w:val="00A9042E"/>
    <w:rsid w:val="00A91041"/>
    <w:rsid w:val="00A937E9"/>
    <w:rsid w:val="00A97A02"/>
    <w:rsid w:val="00AA1718"/>
    <w:rsid w:val="00AA19C0"/>
    <w:rsid w:val="00AA2176"/>
    <w:rsid w:val="00AA231F"/>
    <w:rsid w:val="00AA2DBC"/>
    <w:rsid w:val="00AA46A6"/>
    <w:rsid w:val="00AA6F89"/>
    <w:rsid w:val="00AB2F9B"/>
    <w:rsid w:val="00AB4649"/>
    <w:rsid w:val="00AB5433"/>
    <w:rsid w:val="00AB55B7"/>
    <w:rsid w:val="00AB57BC"/>
    <w:rsid w:val="00AC36DE"/>
    <w:rsid w:val="00AC3846"/>
    <w:rsid w:val="00AC3D52"/>
    <w:rsid w:val="00AC4F0E"/>
    <w:rsid w:val="00AC681D"/>
    <w:rsid w:val="00AC7244"/>
    <w:rsid w:val="00AC7B7E"/>
    <w:rsid w:val="00AD22CA"/>
    <w:rsid w:val="00AD6C70"/>
    <w:rsid w:val="00AE4F6D"/>
    <w:rsid w:val="00AE5266"/>
    <w:rsid w:val="00AF1E2A"/>
    <w:rsid w:val="00AF392D"/>
    <w:rsid w:val="00AF4202"/>
    <w:rsid w:val="00AF5560"/>
    <w:rsid w:val="00AF6F8D"/>
    <w:rsid w:val="00AF7D16"/>
    <w:rsid w:val="00B00E76"/>
    <w:rsid w:val="00B05331"/>
    <w:rsid w:val="00B05B64"/>
    <w:rsid w:val="00B05C64"/>
    <w:rsid w:val="00B108B8"/>
    <w:rsid w:val="00B1247D"/>
    <w:rsid w:val="00B12BDB"/>
    <w:rsid w:val="00B157F1"/>
    <w:rsid w:val="00B16F4E"/>
    <w:rsid w:val="00B21F60"/>
    <w:rsid w:val="00B238FA"/>
    <w:rsid w:val="00B23F89"/>
    <w:rsid w:val="00B25C73"/>
    <w:rsid w:val="00B26873"/>
    <w:rsid w:val="00B27B03"/>
    <w:rsid w:val="00B31DC4"/>
    <w:rsid w:val="00B31FDF"/>
    <w:rsid w:val="00B328C4"/>
    <w:rsid w:val="00B3472F"/>
    <w:rsid w:val="00B36A45"/>
    <w:rsid w:val="00B438F3"/>
    <w:rsid w:val="00B439CF"/>
    <w:rsid w:val="00B45F3D"/>
    <w:rsid w:val="00B46D15"/>
    <w:rsid w:val="00B47080"/>
    <w:rsid w:val="00B47D9B"/>
    <w:rsid w:val="00B505D0"/>
    <w:rsid w:val="00B531B4"/>
    <w:rsid w:val="00B57511"/>
    <w:rsid w:val="00B605A0"/>
    <w:rsid w:val="00B640FC"/>
    <w:rsid w:val="00B70EE1"/>
    <w:rsid w:val="00B718DA"/>
    <w:rsid w:val="00B73A18"/>
    <w:rsid w:val="00B74BBE"/>
    <w:rsid w:val="00B75A3C"/>
    <w:rsid w:val="00B81D44"/>
    <w:rsid w:val="00B82D91"/>
    <w:rsid w:val="00B86ECF"/>
    <w:rsid w:val="00B92A81"/>
    <w:rsid w:val="00B97BAC"/>
    <w:rsid w:val="00BA25F5"/>
    <w:rsid w:val="00BA3956"/>
    <w:rsid w:val="00BA55BD"/>
    <w:rsid w:val="00BA5672"/>
    <w:rsid w:val="00BA5AEA"/>
    <w:rsid w:val="00BA6F2D"/>
    <w:rsid w:val="00BA792A"/>
    <w:rsid w:val="00BA7EEC"/>
    <w:rsid w:val="00BB4F32"/>
    <w:rsid w:val="00BC02DB"/>
    <w:rsid w:val="00BC2355"/>
    <w:rsid w:val="00BC4ECD"/>
    <w:rsid w:val="00BC7C65"/>
    <w:rsid w:val="00BD4972"/>
    <w:rsid w:val="00BD66B0"/>
    <w:rsid w:val="00BE4094"/>
    <w:rsid w:val="00BF25F7"/>
    <w:rsid w:val="00BF3660"/>
    <w:rsid w:val="00BF37A1"/>
    <w:rsid w:val="00BF608C"/>
    <w:rsid w:val="00C00158"/>
    <w:rsid w:val="00C0290A"/>
    <w:rsid w:val="00C03BBB"/>
    <w:rsid w:val="00C04C64"/>
    <w:rsid w:val="00C0586D"/>
    <w:rsid w:val="00C144D1"/>
    <w:rsid w:val="00C15744"/>
    <w:rsid w:val="00C23B15"/>
    <w:rsid w:val="00C24B43"/>
    <w:rsid w:val="00C306CD"/>
    <w:rsid w:val="00C352AD"/>
    <w:rsid w:val="00C355D8"/>
    <w:rsid w:val="00C37F3D"/>
    <w:rsid w:val="00C40142"/>
    <w:rsid w:val="00C4085F"/>
    <w:rsid w:val="00C4086E"/>
    <w:rsid w:val="00C40D35"/>
    <w:rsid w:val="00C445E7"/>
    <w:rsid w:val="00C50ADD"/>
    <w:rsid w:val="00C510FE"/>
    <w:rsid w:val="00C52F0B"/>
    <w:rsid w:val="00C54F3F"/>
    <w:rsid w:val="00C63847"/>
    <w:rsid w:val="00C646F0"/>
    <w:rsid w:val="00C673C0"/>
    <w:rsid w:val="00C678BF"/>
    <w:rsid w:val="00C70FC7"/>
    <w:rsid w:val="00C716C3"/>
    <w:rsid w:val="00C72142"/>
    <w:rsid w:val="00C755FB"/>
    <w:rsid w:val="00C77251"/>
    <w:rsid w:val="00C821B2"/>
    <w:rsid w:val="00C82410"/>
    <w:rsid w:val="00C832E1"/>
    <w:rsid w:val="00C83563"/>
    <w:rsid w:val="00C83731"/>
    <w:rsid w:val="00C9017D"/>
    <w:rsid w:val="00C90C8D"/>
    <w:rsid w:val="00C913EF"/>
    <w:rsid w:val="00C9351A"/>
    <w:rsid w:val="00C94273"/>
    <w:rsid w:val="00C94319"/>
    <w:rsid w:val="00C95056"/>
    <w:rsid w:val="00C95D48"/>
    <w:rsid w:val="00C972D8"/>
    <w:rsid w:val="00C978DB"/>
    <w:rsid w:val="00CA0B28"/>
    <w:rsid w:val="00CA2BCE"/>
    <w:rsid w:val="00CA3570"/>
    <w:rsid w:val="00CA3BC6"/>
    <w:rsid w:val="00CA6A5E"/>
    <w:rsid w:val="00CB064F"/>
    <w:rsid w:val="00CB3F95"/>
    <w:rsid w:val="00CB4B51"/>
    <w:rsid w:val="00CB7843"/>
    <w:rsid w:val="00CC25FC"/>
    <w:rsid w:val="00CC3542"/>
    <w:rsid w:val="00CC3CC2"/>
    <w:rsid w:val="00CC40BE"/>
    <w:rsid w:val="00CC639D"/>
    <w:rsid w:val="00CD389E"/>
    <w:rsid w:val="00CD522C"/>
    <w:rsid w:val="00CD5507"/>
    <w:rsid w:val="00CD7CEF"/>
    <w:rsid w:val="00CE657A"/>
    <w:rsid w:val="00CE6824"/>
    <w:rsid w:val="00CE7DF0"/>
    <w:rsid w:val="00CF1B20"/>
    <w:rsid w:val="00CF2BBB"/>
    <w:rsid w:val="00CF3213"/>
    <w:rsid w:val="00CF58B9"/>
    <w:rsid w:val="00CF5F16"/>
    <w:rsid w:val="00CF7B3D"/>
    <w:rsid w:val="00D01E2B"/>
    <w:rsid w:val="00D0385F"/>
    <w:rsid w:val="00D04403"/>
    <w:rsid w:val="00D0471C"/>
    <w:rsid w:val="00D05755"/>
    <w:rsid w:val="00D06F44"/>
    <w:rsid w:val="00D0750B"/>
    <w:rsid w:val="00D07DD8"/>
    <w:rsid w:val="00D07FCC"/>
    <w:rsid w:val="00D111E7"/>
    <w:rsid w:val="00D151AD"/>
    <w:rsid w:val="00D17955"/>
    <w:rsid w:val="00D17B4A"/>
    <w:rsid w:val="00D21ADC"/>
    <w:rsid w:val="00D23B74"/>
    <w:rsid w:val="00D245AE"/>
    <w:rsid w:val="00D2732C"/>
    <w:rsid w:val="00D31616"/>
    <w:rsid w:val="00D346CC"/>
    <w:rsid w:val="00D358AE"/>
    <w:rsid w:val="00D369FB"/>
    <w:rsid w:val="00D403F6"/>
    <w:rsid w:val="00D419A9"/>
    <w:rsid w:val="00D41D9D"/>
    <w:rsid w:val="00D452B1"/>
    <w:rsid w:val="00D454C2"/>
    <w:rsid w:val="00D45796"/>
    <w:rsid w:val="00D503FA"/>
    <w:rsid w:val="00D506CD"/>
    <w:rsid w:val="00D532BF"/>
    <w:rsid w:val="00D54807"/>
    <w:rsid w:val="00D5593F"/>
    <w:rsid w:val="00D614EE"/>
    <w:rsid w:val="00D6336D"/>
    <w:rsid w:val="00D65222"/>
    <w:rsid w:val="00D66188"/>
    <w:rsid w:val="00D728D8"/>
    <w:rsid w:val="00D73E44"/>
    <w:rsid w:val="00D7476D"/>
    <w:rsid w:val="00D74A8F"/>
    <w:rsid w:val="00D75327"/>
    <w:rsid w:val="00D76952"/>
    <w:rsid w:val="00D76BBF"/>
    <w:rsid w:val="00D777DB"/>
    <w:rsid w:val="00D81263"/>
    <w:rsid w:val="00D8248E"/>
    <w:rsid w:val="00D846F1"/>
    <w:rsid w:val="00D84CCC"/>
    <w:rsid w:val="00D8628B"/>
    <w:rsid w:val="00D879D2"/>
    <w:rsid w:val="00D907CB"/>
    <w:rsid w:val="00D935BC"/>
    <w:rsid w:val="00D95C19"/>
    <w:rsid w:val="00D97030"/>
    <w:rsid w:val="00DA54A3"/>
    <w:rsid w:val="00DA7F30"/>
    <w:rsid w:val="00DB4C81"/>
    <w:rsid w:val="00DB64AC"/>
    <w:rsid w:val="00DB67C7"/>
    <w:rsid w:val="00DB6F3A"/>
    <w:rsid w:val="00DB7970"/>
    <w:rsid w:val="00DC0171"/>
    <w:rsid w:val="00DC43F0"/>
    <w:rsid w:val="00DC59E9"/>
    <w:rsid w:val="00DC5F29"/>
    <w:rsid w:val="00DC638C"/>
    <w:rsid w:val="00DC647B"/>
    <w:rsid w:val="00DD0F24"/>
    <w:rsid w:val="00DD4561"/>
    <w:rsid w:val="00DD5F0F"/>
    <w:rsid w:val="00DE0361"/>
    <w:rsid w:val="00DE1C22"/>
    <w:rsid w:val="00DE2686"/>
    <w:rsid w:val="00DE2996"/>
    <w:rsid w:val="00DE5A92"/>
    <w:rsid w:val="00DF1538"/>
    <w:rsid w:val="00DF1774"/>
    <w:rsid w:val="00DF1EED"/>
    <w:rsid w:val="00E02DF2"/>
    <w:rsid w:val="00E0474F"/>
    <w:rsid w:val="00E05693"/>
    <w:rsid w:val="00E1025E"/>
    <w:rsid w:val="00E114B5"/>
    <w:rsid w:val="00E125CE"/>
    <w:rsid w:val="00E133EA"/>
    <w:rsid w:val="00E1427A"/>
    <w:rsid w:val="00E1431F"/>
    <w:rsid w:val="00E163CD"/>
    <w:rsid w:val="00E238BE"/>
    <w:rsid w:val="00E315AB"/>
    <w:rsid w:val="00E32DB4"/>
    <w:rsid w:val="00E36095"/>
    <w:rsid w:val="00E37DEB"/>
    <w:rsid w:val="00E40D87"/>
    <w:rsid w:val="00E43326"/>
    <w:rsid w:val="00E5087A"/>
    <w:rsid w:val="00E51F0A"/>
    <w:rsid w:val="00E562F6"/>
    <w:rsid w:val="00E56426"/>
    <w:rsid w:val="00E60BF1"/>
    <w:rsid w:val="00E60D2B"/>
    <w:rsid w:val="00E64A4E"/>
    <w:rsid w:val="00E72D11"/>
    <w:rsid w:val="00E75DA7"/>
    <w:rsid w:val="00E77437"/>
    <w:rsid w:val="00E80835"/>
    <w:rsid w:val="00E80A0C"/>
    <w:rsid w:val="00E80A72"/>
    <w:rsid w:val="00E81EBF"/>
    <w:rsid w:val="00E90680"/>
    <w:rsid w:val="00E92CAD"/>
    <w:rsid w:val="00E9388A"/>
    <w:rsid w:val="00EA1388"/>
    <w:rsid w:val="00EA3EF5"/>
    <w:rsid w:val="00EA5208"/>
    <w:rsid w:val="00EA629A"/>
    <w:rsid w:val="00EA6B03"/>
    <w:rsid w:val="00EA76A9"/>
    <w:rsid w:val="00EB2088"/>
    <w:rsid w:val="00EB2B50"/>
    <w:rsid w:val="00EB47BB"/>
    <w:rsid w:val="00EB6D5A"/>
    <w:rsid w:val="00EB78A1"/>
    <w:rsid w:val="00EC3FF4"/>
    <w:rsid w:val="00EC606B"/>
    <w:rsid w:val="00ED0D3D"/>
    <w:rsid w:val="00ED3DF8"/>
    <w:rsid w:val="00ED6469"/>
    <w:rsid w:val="00ED782D"/>
    <w:rsid w:val="00EF472D"/>
    <w:rsid w:val="00EF4C73"/>
    <w:rsid w:val="00EF6389"/>
    <w:rsid w:val="00F005F8"/>
    <w:rsid w:val="00F01A4F"/>
    <w:rsid w:val="00F111E0"/>
    <w:rsid w:val="00F11F9C"/>
    <w:rsid w:val="00F1386E"/>
    <w:rsid w:val="00F14879"/>
    <w:rsid w:val="00F164CE"/>
    <w:rsid w:val="00F206C8"/>
    <w:rsid w:val="00F2179D"/>
    <w:rsid w:val="00F27642"/>
    <w:rsid w:val="00F3074F"/>
    <w:rsid w:val="00F30841"/>
    <w:rsid w:val="00F34FDB"/>
    <w:rsid w:val="00F36852"/>
    <w:rsid w:val="00F411D9"/>
    <w:rsid w:val="00F42DEE"/>
    <w:rsid w:val="00F4630A"/>
    <w:rsid w:val="00F46A7F"/>
    <w:rsid w:val="00F47142"/>
    <w:rsid w:val="00F47C18"/>
    <w:rsid w:val="00F509C5"/>
    <w:rsid w:val="00F50B13"/>
    <w:rsid w:val="00F50BC2"/>
    <w:rsid w:val="00F50DDC"/>
    <w:rsid w:val="00F50E9B"/>
    <w:rsid w:val="00F5311F"/>
    <w:rsid w:val="00F55CA9"/>
    <w:rsid w:val="00F57B6E"/>
    <w:rsid w:val="00F57F53"/>
    <w:rsid w:val="00F629DE"/>
    <w:rsid w:val="00F62CFD"/>
    <w:rsid w:val="00F63EA7"/>
    <w:rsid w:val="00F649B4"/>
    <w:rsid w:val="00F6594F"/>
    <w:rsid w:val="00F66C17"/>
    <w:rsid w:val="00F70160"/>
    <w:rsid w:val="00F701F3"/>
    <w:rsid w:val="00F754F9"/>
    <w:rsid w:val="00F761B7"/>
    <w:rsid w:val="00F83FAF"/>
    <w:rsid w:val="00F8548C"/>
    <w:rsid w:val="00F85741"/>
    <w:rsid w:val="00F85FF4"/>
    <w:rsid w:val="00F92318"/>
    <w:rsid w:val="00F93592"/>
    <w:rsid w:val="00F96D38"/>
    <w:rsid w:val="00FA0189"/>
    <w:rsid w:val="00FA0F9B"/>
    <w:rsid w:val="00FA4081"/>
    <w:rsid w:val="00FA5A07"/>
    <w:rsid w:val="00FB1081"/>
    <w:rsid w:val="00FB2705"/>
    <w:rsid w:val="00FB28E2"/>
    <w:rsid w:val="00FB332E"/>
    <w:rsid w:val="00FB3601"/>
    <w:rsid w:val="00FB63BB"/>
    <w:rsid w:val="00FB6FFE"/>
    <w:rsid w:val="00FC2A67"/>
    <w:rsid w:val="00FD1445"/>
    <w:rsid w:val="00FD6475"/>
    <w:rsid w:val="00FE0F3F"/>
    <w:rsid w:val="00FE2863"/>
    <w:rsid w:val="00FE3D80"/>
    <w:rsid w:val="00FE60AD"/>
    <w:rsid w:val="00FF2034"/>
    <w:rsid w:val="00FF3AAE"/>
    <w:rsid w:val="00FF3D22"/>
    <w:rsid w:val="00FF5A1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FCC53"/>
  <w15:docId w15:val="{A0851AAB-B7CA-4078-8C6B-F61F436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41"/>
    <w:rPr>
      <w:rFonts w:ascii="Arial" w:hAnsi="Arial"/>
    </w:rPr>
  </w:style>
  <w:style w:type="paragraph" w:styleId="Ttulo1">
    <w:name w:val="heading 1"/>
    <w:basedOn w:val="Normal"/>
    <w:next w:val="Normal"/>
    <w:qFormat/>
    <w:rsid w:val="00182D9C"/>
    <w:pPr>
      <w:keepNext/>
      <w:jc w:val="center"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182D9C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2D9C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182D9C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182D9C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2D9C"/>
    <w:pPr>
      <w:keepNext/>
      <w:jc w:val="both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182D9C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82D9C"/>
    <w:pPr>
      <w:keepNext/>
      <w:jc w:val="both"/>
      <w:outlineLvl w:val="7"/>
    </w:pPr>
    <w:rPr>
      <w:b/>
      <w:sz w:val="32"/>
      <w:u w:val="single"/>
    </w:rPr>
  </w:style>
  <w:style w:type="paragraph" w:styleId="Ttulo9">
    <w:name w:val="heading 9"/>
    <w:basedOn w:val="Normal"/>
    <w:next w:val="Normal"/>
    <w:qFormat/>
    <w:rsid w:val="00182D9C"/>
    <w:pPr>
      <w:keepNext/>
      <w:jc w:val="center"/>
      <w:outlineLvl w:val="8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2D9C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basedOn w:val="Fontepargpadro"/>
    <w:rsid w:val="00182D9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182D9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82D9C"/>
    <w:pPr>
      <w:jc w:val="both"/>
    </w:pPr>
    <w:rPr>
      <w:sz w:val="28"/>
    </w:rPr>
  </w:style>
  <w:style w:type="paragraph" w:styleId="Corpodetexto2">
    <w:name w:val="Body Text 2"/>
    <w:basedOn w:val="Normal"/>
    <w:rsid w:val="00182D9C"/>
    <w:pPr>
      <w:jc w:val="both"/>
    </w:pPr>
    <w:rPr>
      <w:sz w:val="24"/>
    </w:rPr>
  </w:style>
  <w:style w:type="paragraph" w:styleId="Recuodecorpodetexto">
    <w:name w:val="Body Text Indent"/>
    <w:basedOn w:val="Normal"/>
    <w:rsid w:val="00182D9C"/>
    <w:pPr>
      <w:ind w:left="360"/>
      <w:jc w:val="both"/>
    </w:pPr>
    <w:rPr>
      <w:sz w:val="24"/>
    </w:rPr>
  </w:style>
  <w:style w:type="paragraph" w:styleId="Corpodetexto3">
    <w:name w:val="Body Text 3"/>
    <w:basedOn w:val="Normal"/>
    <w:rsid w:val="00182D9C"/>
    <w:pPr>
      <w:jc w:val="center"/>
    </w:pPr>
    <w:rPr>
      <w:b/>
      <w:sz w:val="32"/>
      <w:u w:val="single"/>
    </w:rPr>
  </w:style>
  <w:style w:type="paragraph" w:styleId="Ttulo">
    <w:name w:val="Title"/>
    <w:basedOn w:val="Normal"/>
    <w:link w:val="TtuloChar"/>
    <w:qFormat/>
    <w:rsid w:val="00182D9C"/>
    <w:pPr>
      <w:jc w:val="center"/>
    </w:pPr>
    <w:rPr>
      <w:b/>
      <w:sz w:val="28"/>
      <w:u w:val="single"/>
    </w:rPr>
  </w:style>
  <w:style w:type="paragraph" w:styleId="Subttulo">
    <w:name w:val="Subtitle"/>
    <w:basedOn w:val="Normal"/>
    <w:qFormat/>
    <w:rsid w:val="00182D9C"/>
    <w:pPr>
      <w:jc w:val="both"/>
    </w:pPr>
    <w:rPr>
      <w:b/>
      <w:sz w:val="32"/>
    </w:rPr>
  </w:style>
  <w:style w:type="table" w:styleId="Tabelacomgrade">
    <w:name w:val="Table Grid"/>
    <w:basedOn w:val="Tabelanormal"/>
    <w:rsid w:val="00B7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74554"/>
    <w:rPr>
      <w:sz w:val="24"/>
    </w:rPr>
  </w:style>
  <w:style w:type="character" w:customStyle="1" w:styleId="TtuloChar">
    <w:name w:val="Título Char"/>
    <w:basedOn w:val="Fontepargpadro"/>
    <w:link w:val="Ttulo"/>
    <w:rsid w:val="00774554"/>
    <w:rPr>
      <w:b/>
      <w:sz w:val="28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736720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073E96"/>
  </w:style>
  <w:style w:type="paragraph" w:styleId="Textodebalo">
    <w:name w:val="Balloon Text"/>
    <w:basedOn w:val="Normal"/>
    <w:link w:val="TextodebaloChar"/>
    <w:rsid w:val="00073E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73E96"/>
    <w:rPr>
      <w:rFonts w:ascii="Tahoma" w:hAnsi="Tahoma" w:cs="Tahoma"/>
      <w:sz w:val="16"/>
      <w:szCs w:val="16"/>
    </w:rPr>
  </w:style>
  <w:style w:type="paragraph" w:customStyle="1" w:styleId="Tabelas">
    <w:name w:val="Tabelas"/>
    <w:basedOn w:val="Normal"/>
    <w:qFormat/>
    <w:rsid w:val="00D7476D"/>
    <w:pPr>
      <w:jc w:val="center"/>
    </w:pPr>
    <w:rPr>
      <w:rFonts w:cs="Arial"/>
      <w:bCs/>
      <w:color w:val="000000"/>
    </w:rPr>
  </w:style>
  <w:style w:type="table" w:styleId="Tabelaclssica1">
    <w:name w:val="Table Classic 1"/>
    <w:basedOn w:val="Tabelanormal"/>
    <w:rsid w:val="00094A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D907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B700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AA231F"/>
  </w:style>
  <w:style w:type="character" w:customStyle="1" w:styleId="TextodenotaderodapChar">
    <w:name w:val="Texto de nota de rodapé Char"/>
    <w:basedOn w:val="Fontepargpadro"/>
    <w:link w:val="Textodenotaderodap"/>
    <w:rsid w:val="00AA231F"/>
    <w:rPr>
      <w:rFonts w:ascii="Arial" w:hAnsi="Arial"/>
    </w:rPr>
  </w:style>
  <w:style w:type="character" w:styleId="Refdenotaderodap">
    <w:name w:val="footnote reference"/>
    <w:basedOn w:val="Fontepargpadro"/>
    <w:rsid w:val="00AA231F"/>
    <w:rPr>
      <w:vertAlign w:val="superscript"/>
    </w:rPr>
  </w:style>
  <w:style w:type="paragraph" w:customStyle="1" w:styleId="Default">
    <w:name w:val="Default"/>
    <w:rsid w:val="00C721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7E4169"/>
    <w:rPr>
      <w:rFonts w:ascii="Barlow-Regular" w:hAnsi="Barlow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8DA552-5715-4323-ACB4-105D93EE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1027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AUTÔNOMO MUNICIPAL DE ÁGUA E ESGOTO</vt:lpstr>
    </vt:vector>
  </TitlesOfParts>
  <Company>Microsoft</Company>
  <LinksUpToDate>false</LinksUpToDate>
  <CharactersWithSpaces>6563</CharactersWithSpaces>
  <SharedDoc>false</SharedDoc>
  <HLinks>
    <vt:vector size="12" baseType="variant"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http://www.samaepomerode.com.br/</vt:lpwstr>
      </vt:variant>
      <vt:variant>
        <vt:lpwstr/>
      </vt:variant>
      <vt:variant>
        <vt:i4>1245254</vt:i4>
      </vt:variant>
      <vt:variant>
        <vt:i4>0</vt:i4>
      </vt:variant>
      <vt:variant>
        <vt:i4>0</vt:i4>
      </vt:variant>
      <vt:variant>
        <vt:i4>5</vt:i4>
      </vt:variant>
      <vt:variant>
        <vt:lpwstr>http://www.samaepomerode.com.br/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AUTÔNOMO MUNICIPAL DE ÁGUA E ESGOTO</dc:title>
  <dc:creator>..</dc:creator>
  <cp:lastModifiedBy>Rafael</cp:lastModifiedBy>
  <cp:revision>5</cp:revision>
  <cp:lastPrinted>2018-03-16T16:56:00Z</cp:lastPrinted>
  <dcterms:created xsi:type="dcterms:W3CDTF">2019-02-13T00:38:00Z</dcterms:created>
  <dcterms:modified xsi:type="dcterms:W3CDTF">2019-02-13T15:41:00Z</dcterms:modified>
</cp:coreProperties>
</file>