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3C90" w:rsidRPr="008659BF" w:rsidRDefault="00AD3C90" w:rsidP="00AD3C90">
      <w:pPr>
        <w:jc w:val="both"/>
        <w:rPr>
          <w:szCs w:val="24"/>
        </w:rPr>
      </w:pPr>
    </w:p>
    <w:p w:rsidR="00AD3C90" w:rsidRPr="008659BF" w:rsidRDefault="000F2444" w:rsidP="008D43AA">
      <w:pPr>
        <w:pStyle w:val="TCU-Epgrafe"/>
        <w:ind w:left="3402"/>
        <w:rPr>
          <w:szCs w:val="24"/>
        </w:rPr>
      </w:pPr>
      <w:r w:rsidRPr="008659BF">
        <w:rPr>
          <w:szCs w:val="24"/>
        </w:rPr>
        <w:t>GRUPO II</w:t>
      </w:r>
      <w:r w:rsidR="00AD3C90" w:rsidRPr="008659BF">
        <w:rPr>
          <w:szCs w:val="24"/>
        </w:rPr>
        <w:t xml:space="preserve"> –  CLASSE </w:t>
      </w:r>
      <w:r w:rsidR="00C11944">
        <w:rPr>
          <w:szCs w:val="24"/>
        </w:rPr>
        <w:t>I</w:t>
      </w:r>
      <w:r w:rsidRPr="008659BF">
        <w:rPr>
          <w:szCs w:val="24"/>
        </w:rPr>
        <w:t xml:space="preserve"> </w:t>
      </w:r>
      <w:r w:rsidR="00AD3C90" w:rsidRPr="008659BF">
        <w:rPr>
          <w:szCs w:val="24"/>
        </w:rPr>
        <w:t xml:space="preserve">– </w:t>
      </w:r>
      <w:r w:rsidRPr="008659BF">
        <w:rPr>
          <w:szCs w:val="24"/>
        </w:rPr>
        <w:t>Plenário</w:t>
      </w:r>
    </w:p>
    <w:p w:rsidR="00AD3C90" w:rsidRPr="008659BF" w:rsidRDefault="000F2444" w:rsidP="008D43AA">
      <w:pPr>
        <w:pStyle w:val="TCU-Epgrafe"/>
        <w:ind w:left="3402"/>
        <w:rPr>
          <w:szCs w:val="24"/>
        </w:rPr>
      </w:pPr>
      <w:r w:rsidRPr="008659BF">
        <w:rPr>
          <w:szCs w:val="24"/>
        </w:rPr>
        <w:t xml:space="preserve">TC 015.682/2008-0 </w:t>
      </w:r>
    </w:p>
    <w:p w:rsidR="00AD3C90" w:rsidRPr="008659BF" w:rsidRDefault="006930E8" w:rsidP="008D43AA">
      <w:pPr>
        <w:pStyle w:val="TCU-Epgrafe"/>
        <w:ind w:left="3402"/>
        <w:rPr>
          <w:szCs w:val="24"/>
          <w:u w:val="single"/>
        </w:rPr>
      </w:pPr>
      <w:r w:rsidRPr="008659BF">
        <w:rPr>
          <w:szCs w:val="24"/>
        </w:rPr>
        <w:t xml:space="preserve">Natureza(s): </w:t>
      </w:r>
      <w:r w:rsidRPr="00670897">
        <w:rPr>
          <w:color w:val="000000"/>
        </w:rPr>
        <w:t>Pedido de Reexame em acompanhamento</w:t>
      </w:r>
    </w:p>
    <w:p w:rsidR="009B0538" w:rsidRPr="008048F0" w:rsidRDefault="003E35D7" w:rsidP="008D43AA">
      <w:pPr>
        <w:pStyle w:val="TCU-Epgrafe"/>
        <w:ind w:left="3402"/>
        <w:rPr>
          <w:szCs w:val="24"/>
        </w:rPr>
      </w:pPr>
      <w:r w:rsidRPr="008659BF">
        <w:rPr>
          <w:szCs w:val="24"/>
        </w:rPr>
        <w:t>Órgão/Entidade</w:t>
      </w:r>
      <w:r w:rsidR="005264AF" w:rsidRPr="008659BF">
        <w:rPr>
          <w:szCs w:val="24"/>
        </w:rPr>
        <w:t xml:space="preserve">: </w:t>
      </w:r>
      <w:r w:rsidR="00E45350" w:rsidRPr="00670897">
        <w:rPr>
          <w:color w:val="000000"/>
        </w:rPr>
        <w:t xml:space="preserve">Departamento Nacional de </w:t>
      </w:r>
      <w:r w:rsidR="006930E8" w:rsidRPr="00670897">
        <w:rPr>
          <w:color w:val="000000"/>
        </w:rPr>
        <w:t>Infraestrutura</w:t>
      </w:r>
      <w:r w:rsidR="00E45350" w:rsidRPr="00670897">
        <w:rPr>
          <w:color w:val="000000"/>
        </w:rPr>
        <w:t xml:space="preserve"> de Transporte – Dnit e Departamento de Estradas de Rodagem do Acre - Deracre</w:t>
      </w:r>
    </w:p>
    <w:p w:rsidR="00E45350" w:rsidRPr="00E45350" w:rsidRDefault="00E45350" w:rsidP="00E45350">
      <w:pPr>
        <w:pStyle w:val="TCU-Epgrafe"/>
        <w:ind w:left="3402"/>
        <w:rPr>
          <w:szCs w:val="24"/>
        </w:rPr>
      </w:pPr>
      <w:r>
        <w:rPr>
          <w:szCs w:val="24"/>
        </w:rPr>
        <w:t>Interessado</w:t>
      </w:r>
      <w:r w:rsidRPr="00E45350">
        <w:rPr>
          <w:szCs w:val="24"/>
        </w:rPr>
        <w:t xml:space="preserve">: Marcus Alexandre Médici Aguiar (CPF n.º 264.703.988-71). </w:t>
      </w:r>
    </w:p>
    <w:p w:rsidR="00EA61D7" w:rsidRPr="008659BF" w:rsidRDefault="00E45350" w:rsidP="008D43AA">
      <w:pPr>
        <w:pStyle w:val="TCU-Epgrafe"/>
        <w:ind w:left="3402"/>
        <w:rPr>
          <w:szCs w:val="24"/>
        </w:rPr>
      </w:pPr>
      <w:r>
        <w:rPr>
          <w:szCs w:val="24"/>
        </w:rPr>
        <w:t>A</w:t>
      </w:r>
      <w:r w:rsidR="00AD3C90" w:rsidRPr="008659BF">
        <w:rPr>
          <w:szCs w:val="24"/>
        </w:rPr>
        <w:t>dvogado(s)</w:t>
      </w:r>
      <w:r w:rsidR="00EA61D7" w:rsidRPr="008659BF">
        <w:rPr>
          <w:szCs w:val="24"/>
        </w:rPr>
        <w:t xml:space="preserve">: </w:t>
      </w:r>
      <w:r>
        <w:t>Fernando Daniel Faria da Conceição, OAB/AC 2535</w:t>
      </w:r>
    </w:p>
    <w:p w:rsidR="000F2444" w:rsidRPr="008659BF" w:rsidRDefault="000F2444" w:rsidP="008D43AA">
      <w:pPr>
        <w:pStyle w:val="TCU-Epgrafe"/>
        <w:ind w:left="3402"/>
      </w:pPr>
    </w:p>
    <w:p w:rsidR="00EA61D7" w:rsidRPr="008659BF" w:rsidRDefault="00EA61D7" w:rsidP="008D43AA">
      <w:pPr>
        <w:pStyle w:val="TCU-Epgrafe"/>
        <w:ind w:left="3402"/>
      </w:pPr>
      <w:r w:rsidRPr="008659BF">
        <w:t xml:space="preserve">SUMÁRIO: </w:t>
      </w:r>
      <w:r w:rsidR="00E45350">
        <w:rPr>
          <w:color w:val="000000"/>
        </w:rPr>
        <w:t>P</w:t>
      </w:r>
      <w:r w:rsidR="00E45350" w:rsidRPr="00C05A55">
        <w:rPr>
          <w:color w:val="000000"/>
        </w:rPr>
        <w:t xml:space="preserve">EDIDO DE </w:t>
      </w:r>
      <w:r w:rsidR="00E45350">
        <w:rPr>
          <w:color w:val="000000"/>
        </w:rPr>
        <w:t>R</w:t>
      </w:r>
      <w:r w:rsidR="00E45350" w:rsidRPr="00C05A55">
        <w:rPr>
          <w:color w:val="000000"/>
        </w:rPr>
        <w:t>EEXAME</w:t>
      </w:r>
      <w:r w:rsidR="00E45350" w:rsidRPr="00C05A55">
        <w:t xml:space="preserve">. </w:t>
      </w:r>
      <w:r w:rsidR="00E45350">
        <w:t>INCLUSÃO NO CONTRATO DE NOVOS SERVIÇOS</w:t>
      </w:r>
      <w:r w:rsidR="00E45350" w:rsidRPr="00C500FA">
        <w:t xml:space="preserve"> </w:t>
      </w:r>
      <w:r w:rsidR="00E45350" w:rsidRPr="007D2EC8">
        <w:t>COM PREÇOS SUPERIORES AOS DE REFERÊNCIA OFICIAL</w:t>
      </w:r>
      <w:r w:rsidR="00E45350">
        <w:t>.</w:t>
      </w:r>
      <w:r w:rsidR="00E45350" w:rsidRPr="00C500FA">
        <w:t xml:space="preserve"> </w:t>
      </w:r>
      <w:r w:rsidR="00E45350" w:rsidRPr="007D2EC8">
        <w:t>PROMO</w:t>
      </w:r>
      <w:r w:rsidR="00E45350">
        <w:t>ÇÃO DE</w:t>
      </w:r>
      <w:r w:rsidR="00E45350" w:rsidRPr="007D2EC8">
        <w:t xml:space="preserve"> </w:t>
      </w:r>
      <w:r w:rsidR="00E45350">
        <w:t xml:space="preserve">ACRÉSCIMOS </w:t>
      </w:r>
      <w:r w:rsidR="00E45350" w:rsidRPr="007D2EC8">
        <w:t xml:space="preserve">CONTRATUAIS SUPERIORES AOS LIMITES </w:t>
      </w:r>
      <w:r w:rsidR="00A256E1">
        <w:t>LEGAIS. CONHECIMENTO. REDUÇÃO DO VALOR GLOBAL CONTRATADO. ECONOMIA AOS COFRES PÚBLICOS. INEXI</w:t>
      </w:r>
      <w:r w:rsidR="00404D3E">
        <w:t>GI</w:t>
      </w:r>
      <w:r w:rsidR="00A256E1">
        <w:t>BILIDADE DE CON</w:t>
      </w:r>
      <w:r w:rsidR="00AD7624">
        <w:t>D</w:t>
      </w:r>
      <w:r w:rsidR="00A256E1">
        <w:t>UTA</w:t>
      </w:r>
      <w:r w:rsidR="00AD7624">
        <w:t xml:space="preserve"> DIVERSA</w:t>
      </w:r>
      <w:r w:rsidR="00A256E1">
        <w:t xml:space="preserve">. </w:t>
      </w:r>
      <w:r w:rsidR="00E45350" w:rsidRPr="00C05A55">
        <w:t>PROVIMENTO.</w:t>
      </w:r>
      <w:r w:rsidR="00E45350" w:rsidRPr="00C05A55">
        <w:rPr>
          <w:b/>
        </w:rPr>
        <w:t xml:space="preserve"> </w:t>
      </w:r>
      <w:r w:rsidR="00E45350" w:rsidRPr="00C05A55">
        <w:tab/>
      </w:r>
    </w:p>
    <w:p w:rsidR="00EA61D7" w:rsidRPr="008659BF" w:rsidRDefault="00EA61D7" w:rsidP="00AD3C90">
      <w:pPr>
        <w:pStyle w:val="TCU-Epgrafe"/>
        <w:ind w:left="0"/>
      </w:pPr>
    </w:p>
    <w:p w:rsidR="00EA61D7" w:rsidRPr="008659BF" w:rsidRDefault="00EA61D7" w:rsidP="00AD3C90">
      <w:pPr>
        <w:pStyle w:val="TCU-Epgrafe"/>
        <w:ind w:left="0"/>
        <w:rPr>
          <w:u w:val="single"/>
        </w:rPr>
      </w:pPr>
    </w:p>
    <w:p w:rsidR="00E45350" w:rsidRPr="00E45350" w:rsidRDefault="00E45350" w:rsidP="007D5A60">
      <w:pPr>
        <w:pStyle w:val="TCU-SemRecuo"/>
        <w:spacing w:after="120"/>
        <w:ind w:firstLine="709"/>
      </w:pPr>
      <w:r w:rsidRPr="005F64A9">
        <w:t xml:space="preserve">Trata-se de Pedido de Reexame interposto por </w:t>
      </w:r>
      <w:r>
        <w:t xml:space="preserve">Marcus Alexandre Médici Aguiar, Diretor Geral do </w:t>
      </w:r>
      <w:r w:rsidRPr="00670897">
        <w:rPr>
          <w:color w:val="000000"/>
        </w:rPr>
        <w:t xml:space="preserve">Departamento de Estradas de Rodagem do Acre </w:t>
      </w:r>
      <w:r>
        <w:rPr>
          <w:color w:val="000000"/>
        </w:rPr>
        <w:t>–</w:t>
      </w:r>
      <w:r w:rsidRPr="00670897">
        <w:rPr>
          <w:color w:val="000000"/>
        </w:rPr>
        <w:t xml:space="preserve"> Deracre</w:t>
      </w:r>
      <w:r>
        <w:rPr>
          <w:color w:val="000000"/>
        </w:rPr>
        <w:t xml:space="preserve">, em face do </w:t>
      </w:r>
      <w:r w:rsidRPr="00E45350">
        <w:t xml:space="preserve">Acórdão 1192/2009-Plenário. </w:t>
      </w:r>
    </w:p>
    <w:p w:rsidR="00E45350" w:rsidRPr="00A37F33" w:rsidRDefault="00E45350" w:rsidP="007D5A60">
      <w:pPr>
        <w:pStyle w:val="TCU-SemRecuo"/>
        <w:spacing w:after="120"/>
        <w:ind w:firstLine="709"/>
      </w:pPr>
      <w:r w:rsidRPr="00A37F33">
        <w:t>Por meio do</w:t>
      </w:r>
      <w:r>
        <w:t xml:space="preserve"> referido acórdão, foi apreciado </w:t>
      </w:r>
      <w:r w:rsidRPr="00A37F33">
        <w:t xml:space="preserve">acompanhamento constituído na forma de apartado ao TC n. 007.931/2007-5 </w:t>
      </w:r>
      <w:r>
        <w:t>(</w:t>
      </w:r>
      <w:r w:rsidRPr="00A37F33">
        <w:t>item 9.6 do Acórdão n. 950/2008</w:t>
      </w:r>
      <w:r>
        <w:t>-</w:t>
      </w:r>
      <w:r w:rsidRPr="00A37F33">
        <w:t xml:space="preserve"> Plenário</w:t>
      </w:r>
      <w:r>
        <w:t>)</w:t>
      </w:r>
      <w:r w:rsidRPr="00A37F33">
        <w:t>.</w:t>
      </w:r>
    </w:p>
    <w:p w:rsidR="00E45350" w:rsidRPr="00A37F33" w:rsidRDefault="00E45350" w:rsidP="007D5A60">
      <w:pPr>
        <w:pStyle w:val="TCU-SemRecuo"/>
        <w:spacing w:after="120"/>
        <w:ind w:firstLine="709"/>
      </w:pPr>
      <w:r w:rsidRPr="00A37F33">
        <w:t>Na ocasião, após analisar as razões de justificativas apresentados pelos responsáveis, esta Corte aplicou ao Sr. Marcus Alexandre Médici Aguiar a multa prevista no art. 58, II, da Lei 8443/1992, em virtude de ter aprovado a inclusão de novos serviços com preços superiores aos de referência oficial, em desobediência ao que estabelecem os arts. 40, inciso X, e 43, inciso IV, da Lei 8.666/1993</w:t>
      </w:r>
      <w:r>
        <w:t>, e promovido alterações contratuais superiores aos limites legais, infringindo o art. 65, § 1º, da mesma lei</w:t>
      </w:r>
      <w:r w:rsidRPr="00A37F33">
        <w:t xml:space="preserve">. </w:t>
      </w:r>
    </w:p>
    <w:p w:rsidR="007D5A60" w:rsidRPr="00AD7624" w:rsidRDefault="007D5A60" w:rsidP="007D5A60">
      <w:pPr>
        <w:pStyle w:val="Corpo"/>
        <w:tabs>
          <w:tab w:val="clear" w:pos="2268"/>
        </w:tabs>
        <w:spacing w:before="0" w:after="120"/>
        <w:ind w:firstLine="709"/>
        <w:rPr>
          <w:szCs w:val="24"/>
        </w:rPr>
      </w:pPr>
      <w:r w:rsidRPr="00AD7624">
        <w:rPr>
          <w:szCs w:val="24"/>
        </w:rPr>
        <w:lastRenderedPageBreak/>
        <w:t>Após se manifestar pelo conhecimento do recurso, a unidade técnica assim se pronunciou quanto ao mérito:</w:t>
      </w:r>
    </w:p>
    <w:p w:rsidR="00E45350" w:rsidRPr="007D5A60" w:rsidRDefault="007D5A60" w:rsidP="007D5A60">
      <w:pPr>
        <w:pStyle w:val="TCU-SemRecuo"/>
        <w:spacing w:after="120"/>
        <w:ind w:firstLine="709"/>
        <w:rPr>
          <w:b/>
        </w:rPr>
      </w:pPr>
      <w:r w:rsidRPr="007D5A60">
        <w:rPr>
          <w:b/>
        </w:rPr>
        <w:t>“</w:t>
      </w:r>
      <w:r w:rsidR="00E45350" w:rsidRPr="007D5A60">
        <w:rPr>
          <w:b/>
        </w:rPr>
        <w:t>DAS RAZÕES RECURSAIS</w:t>
      </w:r>
    </w:p>
    <w:p w:rsidR="00E45350" w:rsidRPr="00E45350" w:rsidRDefault="00E45350" w:rsidP="007D5A60">
      <w:pPr>
        <w:pStyle w:val="TCU-SemRecuo"/>
        <w:spacing w:after="120"/>
        <w:ind w:firstLine="709"/>
      </w:pPr>
      <w:r w:rsidRPr="00C500FA">
        <w:t>6.</w:t>
      </w:r>
      <w:r w:rsidRPr="00C500FA">
        <w:tab/>
      </w:r>
      <w:r w:rsidRPr="007D5A60">
        <w:rPr>
          <w:b/>
        </w:rPr>
        <w:t>Argumento:</w:t>
      </w:r>
      <w:r w:rsidRPr="00E45350">
        <w:t xml:space="preserve"> aplicação indevida da multa (fls. 3/4, anexo 3)</w:t>
      </w:r>
      <w:r w:rsidRPr="00862A27">
        <w:t xml:space="preserve">. Esta Corte aplicou multa ao recorrente com fundamento no art. 58, II, da Lei n. 8.443/1992 combinado com o art. 268, II, do RI/TCU, segundo os quais a multa só pode ser aplicada quando houver grave infração à norma legal. No entanto, ficou reconhecida nos autos a inexistência de dano ao erário, o que torna </w:t>
      </w:r>
      <w:r w:rsidRPr="00EC00F8">
        <w:t>contraditória a aplicação da multa, que só é devida quando praticado ato de gestão ilegítimo ou antieconômico de que resulte injustificado dano ao erário.</w:t>
      </w:r>
    </w:p>
    <w:p w:rsidR="00E45350" w:rsidRPr="00E45350" w:rsidRDefault="00E45350" w:rsidP="007D5A60">
      <w:pPr>
        <w:pStyle w:val="TCU-SemRecuo"/>
        <w:spacing w:after="120"/>
        <w:ind w:firstLine="709"/>
      </w:pPr>
      <w:r w:rsidRPr="00C500FA">
        <w:t>6.1.</w:t>
      </w:r>
      <w:r w:rsidRPr="00C500FA">
        <w:tab/>
      </w:r>
      <w:r w:rsidRPr="007D5A60">
        <w:rPr>
          <w:b/>
        </w:rPr>
        <w:t>Análise:</w:t>
      </w:r>
      <w:r w:rsidRPr="00EC00F8">
        <w:t xml:space="preserve"> Nos termos do art. 58, II, da Lei n. 8.443/1992 e do art. 286, II, do RI/TCU:</w:t>
      </w:r>
    </w:p>
    <w:p w:rsidR="00E45350" w:rsidRPr="009D1361" w:rsidRDefault="00E45350" w:rsidP="007D5A60">
      <w:pPr>
        <w:pStyle w:val="TCU-SemRecuo"/>
        <w:spacing w:after="120"/>
        <w:ind w:firstLine="709"/>
      </w:pPr>
      <w:r>
        <w:t>“</w:t>
      </w:r>
      <w:r w:rsidRPr="00E45350">
        <w:t>Art. 58</w:t>
      </w:r>
      <w:r w:rsidRPr="009D1361">
        <w:t>. O Tribunal poderá aplicar multa de Cr$ 42.000.000,00 (quarenta e dois milhões de cruzeiros), ou valor equivalente em outra moeda que venha a ser adotada como moeda nacional, aos responsáveis por:</w:t>
      </w:r>
    </w:p>
    <w:p w:rsidR="00E45350" w:rsidRDefault="00E45350" w:rsidP="007D5A60">
      <w:pPr>
        <w:pStyle w:val="TCU-SemRecuo"/>
        <w:spacing w:after="120"/>
        <w:ind w:firstLine="709"/>
      </w:pPr>
      <w:r w:rsidRPr="009D1361">
        <w:t>II - ato praticado com grave infração à norma legal ou regulamentar de natureza contábil, financeira, orçamentária, operacional e patrimonial;</w:t>
      </w:r>
      <w:r>
        <w:t>”</w:t>
      </w:r>
    </w:p>
    <w:p w:rsidR="00E45350" w:rsidRPr="009D1361" w:rsidRDefault="00E45350" w:rsidP="007D5A60">
      <w:pPr>
        <w:pStyle w:val="TCU-SemRecuo"/>
        <w:spacing w:after="120"/>
        <w:ind w:firstLine="709"/>
      </w:pPr>
      <w:r>
        <w:t>“</w:t>
      </w:r>
      <w:r w:rsidRPr="00E45350">
        <w:t>Art. 268.</w:t>
      </w:r>
      <w:r w:rsidRPr="009D1361">
        <w:t xml:space="preserve"> O Tribunal poderá aplicar multa, nos termos do caput do art. 58 da Lei nº 8.443, de</w:t>
      </w:r>
      <w:r>
        <w:t xml:space="preserve"> </w:t>
      </w:r>
      <w:r w:rsidRPr="009D1361">
        <w:t>1992, atualizada na forma prescrita no § 1º deste artigo, aos responsáveis por contas e atos adiante</w:t>
      </w:r>
      <w:r>
        <w:t xml:space="preserve"> </w:t>
      </w:r>
      <w:r w:rsidRPr="009D1361">
        <w:t>indicados, observada a seguinte gradação:</w:t>
      </w:r>
    </w:p>
    <w:p w:rsidR="00E45350" w:rsidRPr="009D1361" w:rsidRDefault="00E45350" w:rsidP="007D5A60">
      <w:pPr>
        <w:pStyle w:val="TCU-SemRecuo"/>
        <w:spacing w:after="120"/>
        <w:ind w:firstLine="709"/>
      </w:pPr>
      <w:r w:rsidRPr="009D1361">
        <w:t>I – contas julgadas irregulares, não havendo débito, mas comprovada qualquer das</w:t>
      </w:r>
      <w:r>
        <w:t xml:space="preserve"> </w:t>
      </w:r>
      <w:r w:rsidRPr="009D1361">
        <w:t>ocorrências previstas nos incisos I, II e III do caput do art. 209, no valor compreendido entre cinco e cem</w:t>
      </w:r>
      <w:r>
        <w:t xml:space="preserve"> </w:t>
      </w:r>
      <w:r w:rsidRPr="009D1361">
        <w:t>por cento do montante definido no caput deste artigo;</w:t>
      </w:r>
    </w:p>
    <w:p w:rsidR="00E45350" w:rsidRDefault="00E45350" w:rsidP="007D5A60">
      <w:pPr>
        <w:pStyle w:val="TCU-SemRecuo"/>
        <w:spacing w:after="120"/>
        <w:ind w:firstLine="709"/>
      </w:pPr>
      <w:r w:rsidRPr="009D1361">
        <w:t>II – ato praticado com grave infração a norma legal ou regulamentar de natureza contábil,</w:t>
      </w:r>
      <w:r>
        <w:t xml:space="preserve"> </w:t>
      </w:r>
      <w:r w:rsidRPr="009D1361">
        <w:t>financeira, orçamentária, operacional ou patrimonial, no valor compreendido entre cinco e cem por cento</w:t>
      </w:r>
      <w:r>
        <w:t xml:space="preserve"> </w:t>
      </w:r>
      <w:r w:rsidRPr="009D1361">
        <w:t>do montante a que se refere o caput;</w:t>
      </w:r>
      <w:r>
        <w:t>”</w:t>
      </w:r>
    </w:p>
    <w:p w:rsidR="00E45350" w:rsidRPr="00DB732B" w:rsidRDefault="00E45350" w:rsidP="007D5A60">
      <w:pPr>
        <w:pStyle w:val="TCU-SemRecuo"/>
        <w:spacing w:after="120"/>
        <w:ind w:firstLine="709"/>
      </w:pPr>
      <w:r>
        <w:t>6.2.</w:t>
      </w:r>
      <w:r>
        <w:tab/>
      </w:r>
      <w:r w:rsidRPr="00DB732B">
        <w:t>Da leitura dos mencionados dispositivos, que fundamentaram aplicação de penalidade ao recorrente, observa-se que não há qualquer menção à necessidade de configuração de dano ao erário para a imputação de multa aos responsáveis, bastando, para isso, a pratica de ato com grave infração à norma legal ou regulamentar.</w:t>
      </w:r>
    </w:p>
    <w:p w:rsidR="00E45350" w:rsidRPr="00DB732B" w:rsidRDefault="00E45350" w:rsidP="007D5A60">
      <w:pPr>
        <w:pStyle w:val="TCU-SemRecuo"/>
        <w:spacing w:after="120"/>
        <w:ind w:firstLine="709"/>
      </w:pPr>
      <w:r>
        <w:t>6.3.</w:t>
      </w:r>
      <w:r>
        <w:tab/>
      </w:r>
      <w:r w:rsidRPr="00DB732B">
        <w:t xml:space="preserve"> No caso, o responsável praticou ato com grave infração à Lei n. 8666/93 – por ter aprovado a inclusão de novos serviços com preços superiores aos de referência oficial, infringindo os arts. 40, inciso X, e 43, inciso IV, da Lei referida lei, e promovido alterações </w:t>
      </w:r>
      <w:r w:rsidRPr="00DB732B">
        <w:lastRenderedPageBreak/>
        <w:t>contratuais superiores aos limites legais, em desobediência ao art. 65, § 1º, da mesma norma – o que justifica a aplicação dos dispositivos acima transcritos.</w:t>
      </w:r>
    </w:p>
    <w:p w:rsidR="00E45350" w:rsidRPr="00DB732B" w:rsidRDefault="00E45350" w:rsidP="007D5A60">
      <w:pPr>
        <w:pStyle w:val="TCU-SemRecuo"/>
        <w:spacing w:after="120"/>
        <w:ind w:firstLine="709"/>
      </w:pPr>
      <w:r>
        <w:t>6.4.</w:t>
      </w:r>
      <w:r>
        <w:tab/>
      </w:r>
      <w:r w:rsidRPr="00DB732B">
        <w:t xml:space="preserve">Frise-se, ainda, quanta à alegação de não ter sido praticado ato de gestão ilegítimo ou antieconômico de que resulte injustificado dano ao erário, que tal conduta está prevista no inciso III, de ambos os artigos (58 da Lei n. 8443/92 e 286 do RI/TCU), o qual sequer foi aplicado ao presente caso. </w:t>
      </w:r>
    </w:p>
    <w:p w:rsidR="00E45350" w:rsidRPr="00E45350" w:rsidRDefault="00E45350" w:rsidP="007D5A60">
      <w:pPr>
        <w:pStyle w:val="TCU-SemRecuo"/>
        <w:spacing w:after="120"/>
        <w:ind w:firstLine="709"/>
      </w:pPr>
      <w:r w:rsidRPr="00DB732B">
        <w:t>Não há, pois, como acolher a alegação em favor do recorrente.</w:t>
      </w:r>
    </w:p>
    <w:p w:rsidR="00E45350" w:rsidRPr="00E45350" w:rsidRDefault="00E45350" w:rsidP="007D5A60">
      <w:pPr>
        <w:pStyle w:val="TCU-SemRecuo"/>
        <w:spacing w:after="120"/>
        <w:ind w:firstLine="709"/>
      </w:pPr>
      <w:r w:rsidRPr="00C500FA">
        <w:t>7.</w:t>
      </w:r>
      <w:r w:rsidRPr="00C500FA">
        <w:tab/>
      </w:r>
      <w:r w:rsidRPr="007D5A60">
        <w:rPr>
          <w:b/>
        </w:rPr>
        <w:t>Argumento:</w:t>
      </w:r>
      <w:r w:rsidRPr="00E45350">
        <w:t xml:space="preserve"> ausência de fundamentação da decisão recorrida (fls. 5/6, anexo 3)</w:t>
      </w:r>
      <w:r w:rsidRPr="00E56A11">
        <w:t>. A análise feita pela unidade técnica não demonstra os motivos pelos quais as razões de justificativa apresentadas pelo recorrente não foram suficientes para afastar as irregularidades, limitando-se a afirmar que:</w:t>
      </w:r>
    </w:p>
    <w:p w:rsidR="00E45350" w:rsidRPr="00E56A11" w:rsidRDefault="00E45350" w:rsidP="007D5A60">
      <w:pPr>
        <w:pStyle w:val="TCU-SemRecuo"/>
        <w:spacing w:after="120"/>
        <w:ind w:firstLine="709"/>
      </w:pPr>
      <w:r w:rsidRPr="00E56A11">
        <w:t>“(...) pelo Acórdão 2206/2006-TCU-Plenário, o cálculo dos limites legais para atendimentos não deve ser realizado a partir simplesmente dos valores totais inicial e final do contrato, como argumenta o gestor. É necessário verificar o valor as supressões, em relação ao valor inicial do contrato, e dos acréscimos, em relação ao valor inicial do contrato livre das supressões efetuadas.”</w:t>
      </w:r>
      <w:r w:rsidRPr="00E45350">
        <w:t>(fl. 5, anexo 3)</w:t>
      </w:r>
    </w:p>
    <w:p w:rsidR="00E45350" w:rsidRPr="00E45350" w:rsidRDefault="00E45350" w:rsidP="007D5A60">
      <w:pPr>
        <w:pStyle w:val="TCU-SemRecuo"/>
        <w:spacing w:after="120"/>
        <w:ind w:firstLine="709"/>
      </w:pPr>
      <w:r>
        <w:t>7.1.</w:t>
      </w:r>
      <w:r>
        <w:tab/>
      </w:r>
      <w:r w:rsidRPr="00E56A11">
        <w:t>Da mesma forma, o Ministro-Relator manifestou a sua concordância com a proposta da unidade técnica sem maiores fundamentações.</w:t>
      </w:r>
    </w:p>
    <w:p w:rsidR="00E45350" w:rsidRPr="0014773E" w:rsidRDefault="00E45350" w:rsidP="007D5A60">
      <w:pPr>
        <w:pStyle w:val="TCU-SemRecuo"/>
        <w:spacing w:after="120"/>
        <w:ind w:firstLine="709"/>
      </w:pPr>
      <w:r w:rsidRPr="00C500FA">
        <w:t>7.2.</w:t>
      </w:r>
      <w:r w:rsidRPr="007D5A60">
        <w:rPr>
          <w:b/>
        </w:rPr>
        <w:tab/>
        <w:t>Análise</w:t>
      </w:r>
      <w:r w:rsidRPr="0014773E">
        <w:t>: no acórdão recorrido, o Ministro-Relator acatou a fundamentação lançada pela unidade técnica que, ao afastar as alegações apresentadas pelo recorrente em suas razões de justificativa, o fez com base nos seguintes fundamentos</w:t>
      </w:r>
      <w:r>
        <w:t>,</w:t>
      </w:r>
      <w:r w:rsidRPr="0014773E">
        <w:t xml:space="preserve"> expostos na instrução de fls. 223/226, v.p.: </w:t>
      </w:r>
    </w:p>
    <w:p w:rsidR="00E45350" w:rsidRPr="007D5A60" w:rsidRDefault="00E45350" w:rsidP="007D5A60">
      <w:pPr>
        <w:pStyle w:val="TCU-SemRecuo"/>
        <w:spacing w:after="120"/>
        <w:ind w:firstLine="709"/>
        <w:rPr>
          <w:b/>
        </w:rPr>
      </w:pPr>
      <w:r w:rsidRPr="007D5A60">
        <w:rPr>
          <w:b/>
        </w:rPr>
        <w:t>-Inserção de serviços novos com preços superiores aos de referência oficial:</w:t>
      </w:r>
    </w:p>
    <w:p w:rsidR="00E45350" w:rsidRPr="00B93313" w:rsidRDefault="00E45350" w:rsidP="007D5A60">
      <w:pPr>
        <w:pStyle w:val="TCU-SemRecuo"/>
        <w:spacing w:after="120"/>
        <w:ind w:left="426" w:firstLine="425"/>
      </w:pPr>
      <w:r>
        <w:t>“</w:t>
      </w:r>
      <w:r w:rsidRPr="00B93313">
        <w:t>12. Análise: De fato, existe na referida planilha o equívoco entre os serviços e quantitativos dos contratos 4.02.201C e 4.02.201B, invalidando a mesma.</w:t>
      </w:r>
    </w:p>
    <w:p w:rsidR="00E45350" w:rsidRPr="00B93313" w:rsidRDefault="00E45350" w:rsidP="007D5A60">
      <w:pPr>
        <w:pStyle w:val="TCU-SemRecuo"/>
        <w:spacing w:after="120"/>
        <w:ind w:left="426" w:firstLine="425"/>
      </w:pPr>
      <w:r w:rsidRPr="00B93313">
        <w:t>13. No entanto, a planilha 3 da mesma instrução (fl. 186) apresenta a análise dos itens mais relevantes do contrato 4.02.201C, mostrando 4 itens novos cujos preços são maiores que os da referência oficial.</w:t>
      </w:r>
    </w:p>
    <w:p w:rsidR="00E45350" w:rsidRPr="00B93313" w:rsidRDefault="00E45350" w:rsidP="007D5A60">
      <w:pPr>
        <w:pStyle w:val="TCU-SemRecuo"/>
        <w:spacing w:after="120"/>
        <w:ind w:left="426" w:firstLine="425"/>
      </w:pPr>
      <w:r w:rsidRPr="00B93313">
        <w:t>14. A jurisprudência do TCU aponta para não aceitabilidade de preços de serviços novos acima da referencial oficial, conforme vemos recorrentes decisões nos Acórdãos 508/2004, 172/2004 e 312/2003, todos do Plenário. Também vemos no Acórdão 1595/2006-Plenário, que o entendimento é de que a análise de aceitabilidade deve ser feita por serviço, e não pelo valor global.</w:t>
      </w:r>
    </w:p>
    <w:p w:rsidR="00E45350" w:rsidRPr="00B93313" w:rsidRDefault="00E45350" w:rsidP="007D5A60">
      <w:pPr>
        <w:pStyle w:val="TCU-SemRecuo"/>
        <w:spacing w:after="120"/>
        <w:ind w:left="426" w:firstLine="425"/>
      </w:pPr>
      <w:r w:rsidRPr="00B93313">
        <w:t>ACÓRDÃO 172/2004-TCU-Plenário</w:t>
      </w:r>
    </w:p>
    <w:p w:rsidR="00E45350" w:rsidRPr="00B93313" w:rsidRDefault="00E45350" w:rsidP="007D5A60">
      <w:pPr>
        <w:pStyle w:val="TCU-SemRecuo"/>
        <w:spacing w:after="120"/>
        <w:ind w:left="426" w:firstLine="425"/>
      </w:pPr>
      <w:r w:rsidRPr="00B93313">
        <w:t xml:space="preserve">ACÓRDÃO: </w:t>
      </w:r>
      <w:r>
        <w:t>‘</w:t>
      </w:r>
      <w:r w:rsidRPr="00B93313">
        <w:t>...quaisquer acréscimos ao Contrato AT-N 30/87 sejam devidamente justificados e tenham por limite os referenciais de preço contidos no Sistema Nacional de Pesquisa de Custos e Índices de Construção Civil - SINAPI, da Caixa Econômica Federal, e no Sistema de Custos Rodoviários - SICRO do DNIT, optando-se pelo menor entre os dois referenciais no caso de divergência;</w:t>
      </w:r>
      <w:r>
        <w:t>’</w:t>
      </w:r>
    </w:p>
    <w:p w:rsidR="00E45350" w:rsidRPr="00B93313" w:rsidRDefault="00E45350" w:rsidP="007D5A60">
      <w:pPr>
        <w:pStyle w:val="TCU-SemRecuo"/>
        <w:spacing w:after="120"/>
        <w:ind w:left="426" w:firstLine="425"/>
      </w:pPr>
      <w:r w:rsidRPr="00B93313">
        <w:t>ACÓRDÃO 1595/2006-TCU-Plenário</w:t>
      </w:r>
    </w:p>
    <w:p w:rsidR="00E45350" w:rsidRPr="00B93313" w:rsidRDefault="00E45350" w:rsidP="007D5A60">
      <w:pPr>
        <w:pStyle w:val="TCU-SemRecuo"/>
        <w:spacing w:after="120"/>
        <w:ind w:left="426" w:firstLine="425"/>
      </w:pPr>
      <w:r w:rsidRPr="00B93313">
        <w:t xml:space="preserve">SUMÁRIO: </w:t>
      </w:r>
      <w:r>
        <w:t>‘</w:t>
      </w:r>
      <w:r w:rsidRPr="00B93313">
        <w:t>A contratação por preço global não afasta a necessária adequação dos valores unitários aos preços de mercado.</w:t>
      </w:r>
      <w:r>
        <w:t>’</w:t>
      </w:r>
    </w:p>
    <w:p w:rsidR="00E45350" w:rsidRPr="00E45350" w:rsidRDefault="00E45350" w:rsidP="007D5A60">
      <w:pPr>
        <w:pStyle w:val="TCU-SemRecuo"/>
        <w:spacing w:after="120"/>
        <w:ind w:left="426" w:firstLine="425"/>
      </w:pPr>
      <w:r w:rsidRPr="00B93313">
        <w:t>15. Sendo assim, apesar de não existir, de forma global, dano ao erário, cabe propor multa ao gestor por aprovar a inclusão de serviços novos com preços superiores aos de referência oficial.</w:t>
      </w:r>
      <w:r>
        <w:t>’</w:t>
      </w:r>
      <w:r w:rsidRPr="00E45350">
        <w:t xml:space="preserve"> (fl. 224, v.p.)</w:t>
      </w:r>
    </w:p>
    <w:p w:rsidR="00E45350" w:rsidRPr="007D5A60" w:rsidRDefault="00E45350" w:rsidP="007D5A60">
      <w:pPr>
        <w:pStyle w:val="TCU-SemRecuo"/>
        <w:spacing w:after="120"/>
        <w:ind w:left="426" w:firstLine="425"/>
        <w:rPr>
          <w:b/>
        </w:rPr>
      </w:pPr>
      <w:r w:rsidRPr="007D5A60">
        <w:rPr>
          <w:b/>
        </w:rPr>
        <w:t xml:space="preserve">Promoção de alterações contratuais em percentuais superiores aos limites legais: </w:t>
      </w:r>
    </w:p>
    <w:p w:rsidR="00E45350" w:rsidRPr="00F30500" w:rsidRDefault="00E45350" w:rsidP="007D5A60">
      <w:pPr>
        <w:pStyle w:val="TCU-SemRecuo"/>
        <w:spacing w:after="120"/>
        <w:ind w:left="426" w:firstLine="425"/>
      </w:pPr>
      <w:r w:rsidRPr="00F30500">
        <w:t xml:space="preserve"> Análise: Conforme verificamos pelo Acórdão 2206/2006-TCU-Plenário, o cálculo dos limites legais para aditamentos não deve ser realizado a partir simplesmente dos valores totais inicial e final do contrato, como argumenta o gestor. É necessário verificar o valor das supressões, em relação ao valor inicial do contrato, e dos acréscimos, em relação ao valor inicial do contrato livre das supressões efetuadas.</w:t>
      </w:r>
    </w:p>
    <w:p w:rsidR="00E45350" w:rsidRPr="00F30500" w:rsidRDefault="00E45350" w:rsidP="007D5A60">
      <w:pPr>
        <w:pStyle w:val="TCU-SemRecuo"/>
        <w:spacing w:after="120"/>
        <w:ind w:left="426" w:firstLine="425"/>
      </w:pPr>
      <w:r w:rsidRPr="00F30500">
        <w:t>ACÓRDÃO 2206/2006-TCU-Plenário</w:t>
      </w:r>
    </w:p>
    <w:p w:rsidR="00E45350" w:rsidRPr="00F30500" w:rsidRDefault="00E45350" w:rsidP="007D5A60">
      <w:pPr>
        <w:pStyle w:val="TCU-SemRecuo"/>
        <w:spacing w:after="120"/>
        <w:ind w:left="426" w:firstLine="425"/>
      </w:pPr>
      <w:r w:rsidRPr="00F30500">
        <w:t xml:space="preserve">SUMÁRIO: ‘O limite de 25% previsto no art. 65, § 1º, da Lei 8.666/1993 aplica-se sobre o valor inicial atualizado das obras, serviços e compras objetivados, livre das supressões de itens neles previstos, que </w:t>
      </w:r>
      <w:r w:rsidR="006930E8" w:rsidRPr="00F30500">
        <w:t>se presumem</w:t>
      </w:r>
      <w:r w:rsidRPr="00F30500">
        <w:t xml:space="preserve"> desnecessários, devendo, por isso, tal valor inicial expurgado ser considerado o verdadeiro valor do objeto do contrato.’</w:t>
      </w:r>
    </w:p>
    <w:p w:rsidR="00E45350" w:rsidRPr="00F30500" w:rsidRDefault="00E45350" w:rsidP="007D5A60">
      <w:pPr>
        <w:pStyle w:val="TCU-SemRecuo"/>
        <w:spacing w:after="120"/>
        <w:ind w:left="426" w:firstLine="425"/>
      </w:pPr>
      <w:r w:rsidRPr="00F30500">
        <w:t>19. É válida, portanto, a análise das fls. 180 e 181, que indicam alterações contratuais em percentuais superiores aos limites legais. Não se acatam as alegações, cabendo propor multa ao gestor por infringir o art. 65, §1º, da Lei nº 8.666/1993.</w:t>
      </w:r>
    </w:p>
    <w:p w:rsidR="00E45350" w:rsidRPr="00F30500" w:rsidRDefault="00E45350" w:rsidP="007D5A60">
      <w:pPr>
        <w:pStyle w:val="TCU-SemRecuo"/>
        <w:spacing w:after="120"/>
        <w:ind w:left="426" w:firstLine="425"/>
      </w:pPr>
      <w:r w:rsidRPr="00F30500">
        <w:t>Tabela 1: Análise dos aditamentos no contrato nº 4.02.201C em comparação com os limites legais.</w:t>
      </w:r>
    </w:p>
    <w:p w:rsidR="00E45350" w:rsidRPr="00F30500" w:rsidRDefault="00E45350" w:rsidP="008C6482">
      <w:pPr>
        <w:pStyle w:val="TCU-SemRecuo"/>
        <w:spacing w:after="0"/>
        <w:ind w:left="426"/>
      </w:pPr>
      <w:r w:rsidRPr="00F30500">
        <w:t xml:space="preserve">ALTERAÇÕES NO CONTRATO nº 4.02.201C </w:t>
      </w:r>
      <w:r w:rsidRPr="00E45350">
        <w:t>(i)</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720"/>
      </w:tblGrid>
      <w:tr w:rsidR="00E45350" w:rsidRPr="0087471B" w:rsidTr="007D5A60">
        <w:tc>
          <w:tcPr>
            <w:tcW w:w="8720" w:type="dxa"/>
          </w:tcPr>
          <w:p w:rsidR="00E45350" w:rsidRPr="00F30500" w:rsidRDefault="00E45350" w:rsidP="00D10322">
            <w:pPr>
              <w:pStyle w:val="TCU-SemRecuo"/>
              <w:spacing w:after="0"/>
              <w:ind w:left="426"/>
            </w:pPr>
            <w:r w:rsidRPr="00F30500">
              <w:t xml:space="preserve">VALOR ORIGINAL </w:t>
            </w:r>
            <w:r>
              <w:t xml:space="preserve">                                                          </w:t>
            </w:r>
            <w:r w:rsidRPr="00F30500">
              <w:t>R$ 16.166.879,37</w:t>
            </w:r>
          </w:p>
        </w:tc>
      </w:tr>
      <w:tr w:rsidR="00E45350" w:rsidRPr="0087471B" w:rsidTr="007D5A60">
        <w:tc>
          <w:tcPr>
            <w:tcW w:w="8720" w:type="dxa"/>
          </w:tcPr>
          <w:p w:rsidR="00E45350" w:rsidRPr="00F30500" w:rsidRDefault="00E45350" w:rsidP="00D10322">
            <w:pPr>
              <w:pStyle w:val="TCU-SemRecuo"/>
              <w:spacing w:after="0"/>
              <w:ind w:left="426"/>
            </w:pPr>
            <w:r w:rsidRPr="00F30500">
              <w:t xml:space="preserve">TOTAL DE SUPRESSÕES </w:t>
            </w:r>
            <w:r>
              <w:t xml:space="preserve">     </w:t>
            </w:r>
            <w:r w:rsidR="00D10322">
              <w:t xml:space="preserve">  </w:t>
            </w:r>
            <w:r>
              <w:t xml:space="preserve">                                         </w:t>
            </w:r>
            <w:r w:rsidRPr="00F30500">
              <w:t xml:space="preserve">R$ 6.027.029,67 </w:t>
            </w:r>
            <w:r>
              <w:t xml:space="preserve">  </w:t>
            </w:r>
            <w:r w:rsidRPr="00E45350">
              <w:t>37,3%</w:t>
            </w:r>
          </w:p>
        </w:tc>
      </w:tr>
      <w:tr w:rsidR="00E45350" w:rsidRPr="0087471B" w:rsidTr="007D5A60">
        <w:tc>
          <w:tcPr>
            <w:tcW w:w="8720" w:type="dxa"/>
          </w:tcPr>
          <w:p w:rsidR="00E45350" w:rsidRPr="00F30500" w:rsidRDefault="00E45350" w:rsidP="00D10322">
            <w:pPr>
              <w:pStyle w:val="TCU-SemRecuo"/>
              <w:spacing w:after="0"/>
              <w:ind w:left="426"/>
            </w:pPr>
            <w:r w:rsidRPr="00F30500">
              <w:t>TOTAL (LIVRE DE ACRÉSCIMOS E SUPRESSÕES)</w:t>
            </w:r>
            <w:r>
              <w:t xml:space="preserve">  </w:t>
            </w:r>
            <w:r w:rsidRPr="00F30500">
              <w:t xml:space="preserve">R$ 10.139.849,70 </w:t>
            </w:r>
          </w:p>
        </w:tc>
      </w:tr>
      <w:tr w:rsidR="00E45350" w:rsidRPr="0087471B" w:rsidTr="007D5A60">
        <w:tc>
          <w:tcPr>
            <w:tcW w:w="8720" w:type="dxa"/>
          </w:tcPr>
          <w:p w:rsidR="00E45350" w:rsidRPr="00F30500" w:rsidRDefault="00E45350" w:rsidP="008C6482">
            <w:pPr>
              <w:pStyle w:val="TCU-SemRecuo"/>
              <w:spacing w:after="0"/>
              <w:ind w:left="426"/>
            </w:pPr>
            <w:r w:rsidRPr="00F30500">
              <w:t>TOTAL DE ACRÉS</w:t>
            </w:r>
            <w:r>
              <w:t>CIMOS</w:t>
            </w:r>
            <w:r w:rsidRPr="00E45350">
              <w:t>(ii)</w:t>
            </w:r>
            <w:r>
              <w:t xml:space="preserve">                                           </w:t>
            </w:r>
            <w:r w:rsidRPr="00F30500">
              <w:t xml:space="preserve">R$ 5.352.024,87 </w:t>
            </w:r>
            <w:r>
              <w:t xml:space="preserve">  </w:t>
            </w:r>
            <w:r w:rsidRPr="00E45350">
              <w:t>52,8%</w:t>
            </w:r>
          </w:p>
        </w:tc>
      </w:tr>
    </w:tbl>
    <w:p w:rsidR="00E45350" w:rsidRPr="00E45350" w:rsidRDefault="00E45350" w:rsidP="007D5A60">
      <w:pPr>
        <w:pStyle w:val="TCU-SemRecuo"/>
        <w:spacing w:after="0"/>
        <w:ind w:left="426" w:firstLine="425"/>
      </w:pPr>
      <w:r w:rsidRPr="00E45350">
        <w:t>(i) Data-base ago/02</w:t>
      </w:r>
    </w:p>
    <w:p w:rsidR="00E45350" w:rsidRPr="00E45350" w:rsidRDefault="00E45350" w:rsidP="007D5A60">
      <w:pPr>
        <w:pStyle w:val="TCU-SemRecuo"/>
        <w:spacing w:after="0"/>
        <w:ind w:left="426" w:firstLine="425"/>
      </w:pPr>
      <w:r w:rsidRPr="00E45350">
        <w:t xml:space="preserve">(ii) Acréscimos de 33,1% em relação ao valor original. </w:t>
      </w:r>
    </w:p>
    <w:p w:rsidR="00E45350" w:rsidRPr="00E45350" w:rsidRDefault="00E45350" w:rsidP="007D5A60">
      <w:pPr>
        <w:pStyle w:val="TCU-SemRecuo"/>
        <w:spacing w:after="120"/>
        <w:ind w:left="426" w:firstLine="425"/>
      </w:pPr>
      <w:r w:rsidRPr="00F30500">
        <w:t xml:space="preserve">20. </w:t>
      </w:r>
      <w:r w:rsidRPr="00E45350">
        <w:t>Mesmo considerando-se o valor original do contrato como base para o cálculo dos acréscimos, o percentual seria de 33,1%, ou seja, ainda estaria infringindo o art. 65, §1º, da Lei nº 8.666/1993</w:t>
      </w:r>
      <w:r>
        <w:t>.”</w:t>
      </w:r>
      <w:r w:rsidRPr="00E45350">
        <w:t xml:space="preserve"> (grifei - fl. 225, v.p)</w:t>
      </w:r>
    </w:p>
    <w:p w:rsidR="00E45350" w:rsidRPr="00ED2021" w:rsidRDefault="00E45350" w:rsidP="007D5A60">
      <w:pPr>
        <w:pStyle w:val="TCU-SemRecuo"/>
        <w:spacing w:after="120"/>
        <w:ind w:firstLine="709"/>
      </w:pPr>
      <w:r>
        <w:t>7.3.</w:t>
      </w:r>
      <w:r>
        <w:tab/>
      </w:r>
      <w:r w:rsidRPr="00ED2021">
        <w:t xml:space="preserve">Da simples leitura dos trechos acima transcritos, observa-se que, ao contrário do que alega o recorrente, a decisão está bem fundamentada, expondo com clareza os motivos pelos quais as justificativas apresentadas pelo recorrente foram afastadas e demonstrando os cálculos que levaram </w:t>
      </w:r>
      <w:r>
        <w:t>à</w:t>
      </w:r>
      <w:r w:rsidRPr="00ED2021">
        <w:t xml:space="preserve"> conclusão de que houve </w:t>
      </w:r>
      <w:r>
        <w:t>afronta ao</w:t>
      </w:r>
      <w:r w:rsidRPr="00ED2021">
        <w:t xml:space="preserve"> limite do art. 65, § 1º, da Lei n. 8666/93. Assim, ainda que o recorrente não concorde com as conclusões adotadas no acórdão recorrido, n</w:t>
      </w:r>
      <w:r>
        <w:t>ão</w:t>
      </w:r>
      <w:r w:rsidRPr="00ED2021">
        <w:t xml:space="preserve"> pode dizer que ele carece de fundamentação.</w:t>
      </w:r>
    </w:p>
    <w:p w:rsidR="00E45350" w:rsidRPr="00ED2021" w:rsidRDefault="00E45350" w:rsidP="007D5A60">
      <w:pPr>
        <w:pStyle w:val="TCU-SemRecuo"/>
        <w:spacing w:after="120"/>
        <w:ind w:firstLine="709"/>
      </w:pPr>
      <w:r>
        <w:t>7.4.</w:t>
      </w:r>
      <w:r>
        <w:tab/>
      </w:r>
      <w:r w:rsidRPr="00ED2021">
        <w:t>Não há, pois, como acolher a alegação em favor do recorrente.</w:t>
      </w:r>
    </w:p>
    <w:p w:rsidR="00E45350" w:rsidRPr="00E45350" w:rsidRDefault="00E45350" w:rsidP="007D5A60">
      <w:pPr>
        <w:pStyle w:val="TCU-SemRecuo"/>
        <w:spacing w:after="120"/>
        <w:ind w:firstLine="709"/>
      </w:pPr>
      <w:r w:rsidRPr="00B93973">
        <w:t>8.</w:t>
      </w:r>
      <w:r w:rsidRPr="00B93973">
        <w:tab/>
      </w:r>
      <w:r w:rsidRPr="007D5A60">
        <w:rPr>
          <w:b/>
        </w:rPr>
        <w:t>Argumento</w:t>
      </w:r>
      <w:r w:rsidRPr="00E45350">
        <w:t>: má interpretação do Acórdão n. 2206/2006 – TCU – Plenário (fl. 6, anexo 3)</w:t>
      </w:r>
      <w:r w:rsidRPr="00E56A11">
        <w:t>. O Acórdão n. 2206/2006 – TCU – Plenário está sendo mal interpretado pela unidade técnica, pois, de acordo com o que ficou consignado no voto do Ministro-Relator da referida decisão, o valor original do contrato, livre de eventuais supressões de serviços, serve de referencial para o cálculo dos 25%.</w:t>
      </w:r>
    </w:p>
    <w:p w:rsidR="00E45350" w:rsidRPr="00FA131E" w:rsidRDefault="00A256E1" w:rsidP="007D5A60">
      <w:pPr>
        <w:pStyle w:val="TCU-SemRecuo"/>
        <w:spacing w:after="120"/>
        <w:ind w:firstLine="709"/>
      </w:pPr>
      <w:r w:rsidRPr="00A256E1">
        <w:t>8.1.</w:t>
      </w:r>
      <w:r>
        <w:rPr>
          <w:b/>
        </w:rPr>
        <w:t xml:space="preserve"> </w:t>
      </w:r>
      <w:r w:rsidR="00E45350" w:rsidRPr="00A256E1">
        <w:rPr>
          <w:b/>
        </w:rPr>
        <w:t>Análise:</w:t>
      </w:r>
      <w:r w:rsidR="00E45350" w:rsidRPr="00FA131E">
        <w:t xml:space="preserve"> O Acórdão n. 2206/2006 – TCU – Plenário, é claro ao dispor que:</w:t>
      </w:r>
    </w:p>
    <w:p w:rsidR="00E45350" w:rsidRPr="00E45350" w:rsidRDefault="00E45350" w:rsidP="007D5A60">
      <w:pPr>
        <w:pStyle w:val="TCU-SemRecuo"/>
        <w:spacing w:after="120"/>
        <w:ind w:firstLine="709"/>
      </w:pPr>
      <w:r w:rsidRPr="00E45350">
        <w:t>- Voto do Ministro Relator</w:t>
      </w:r>
    </w:p>
    <w:p w:rsidR="00E45350" w:rsidRPr="00FA131E" w:rsidRDefault="00E45350" w:rsidP="00A256E1">
      <w:pPr>
        <w:pStyle w:val="TCU-SemRecuo"/>
        <w:spacing w:after="120"/>
        <w:ind w:left="709" w:firstLine="425"/>
      </w:pPr>
      <w:r>
        <w:t>“</w:t>
      </w:r>
      <w:r w:rsidRPr="00FA131E">
        <w:t xml:space="preserve">6. Verifico que a alteração do valor inicial do contrato em virtude do expurgo do serviço em duplicidade tem relevância para as possíveis alterações contratuais futuras, que, dessa forma, estarão limitadas a 21% do valor inicial corrigido. </w:t>
      </w:r>
      <w:r w:rsidRPr="00E45350">
        <w:t>Entendo que a tese por trás desse procedimento, a de que o limite de 25% previsto no art. 65, § 1º, da Lei 8.666/1993 previsto para as alterações contratuais aplica-se sobre o valor inicial livre das supressões de serviços efetuadas, merece todo o prestígio por parte desta Corte de Contas</w:t>
      </w:r>
      <w:r w:rsidRPr="00FA131E">
        <w:t>.</w:t>
      </w:r>
    </w:p>
    <w:p w:rsidR="00E45350" w:rsidRPr="00FA131E" w:rsidRDefault="00E45350" w:rsidP="00A256E1">
      <w:pPr>
        <w:pStyle w:val="TCU-SemRecuo"/>
        <w:spacing w:after="120"/>
        <w:ind w:left="709" w:firstLine="425"/>
      </w:pPr>
      <w:r w:rsidRPr="00FA131E">
        <w:t xml:space="preserve">7. Com efeito, em primeiro lugar, a tese tem inteira procedência lógica, uma vez que </w:t>
      </w:r>
      <w:r w:rsidRPr="00E45350">
        <w:t>as supressões de serviços têm o valor de trazer o objeto do contrato às suas reais dimensão física e expressão monetária, parecendo-me evidente que a norma limitadora não poderia ter em mente o objeto indevidamente inflado com serviços tidos como desnecessários</w:t>
      </w:r>
      <w:r w:rsidRPr="00FA131E">
        <w:t>. Nota-se, em segundo lugar, que, não raro, as supressões têm sido processadas com o visível intuito de abrir espaço para a inclusão de outros serviços, o que não deixa de ser uma forma de burlar a legislação. Tanto é verdade que somente assim poder-se-ia encontrar alguma racionalidade em certas exclusões observadas em outras obras, como, por exemplo, a de um viaduto, ou da parte de iluminação de travessias urbanas e outros elementos de evidente utilidade para os empreendimentos objetivados.</w:t>
      </w:r>
      <w:r>
        <w:t xml:space="preserve">” </w:t>
      </w:r>
      <w:r w:rsidRPr="00E45350">
        <w:t>(grifei)</w:t>
      </w:r>
    </w:p>
    <w:p w:rsidR="00E45350" w:rsidRPr="00B469FC" w:rsidRDefault="00E45350" w:rsidP="007D5A60">
      <w:pPr>
        <w:pStyle w:val="TCU-SemRecuo"/>
        <w:spacing w:after="120"/>
        <w:ind w:firstLine="709"/>
      </w:pPr>
      <w:r>
        <w:t>8.2.</w:t>
      </w:r>
      <w:r>
        <w:tab/>
      </w:r>
      <w:r w:rsidRPr="00B469FC">
        <w:t xml:space="preserve">Assim, de acordo com esse entendimento, o valor utilizado como referencial para o cálculo dos 25% é o valor inicial do contrato menos o valor total das supressões feitas. </w:t>
      </w:r>
    </w:p>
    <w:p w:rsidR="00E45350" w:rsidRPr="00B469FC" w:rsidRDefault="00E45350" w:rsidP="007D5A60">
      <w:pPr>
        <w:pStyle w:val="TCU-SemRecuo"/>
        <w:spacing w:after="120"/>
        <w:ind w:firstLine="709"/>
      </w:pPr>
      <w:r>
        <w:t>8.3.</w:t>
      </w:r>
      <w:r>
        <w:tab/>
      </w:r>
      <w:r w:rsidRPr="00B469FC">
        <w:t xml:space="preserve">Para melhor ilustrar a matéria, imaginemos a seguinte situação: Foi firmado um contrato de R$ 100,00. Posteriormente, foram feitas supressões no valor de R$ 30,00. Nesse caso, o valor utilizado como referência para o cálculo dos 25% será: R$ 100,00 (valor inicial) – R$ 30,00 (supressões) = </w:t>
      </w:r>
      <w:r w:rsidRPr="00E45350">
        <w:t xml:space="preserve">R$ 70,00. </w:t>
      </w:r>
      <w:r w:rsidRPr="00B469FC">
        <w:t xml:space="preserve">Logo, o limite de acréscimos permitidos será de 25% de R$ 70,00 ( </w:t>
      </w:r>
      <w:r w:rsidRPr="00E45350">
        <w:t>R$ 17,50</w:t>
      </w:r>
      <w:r w:rsidRPr="00B469FC">
        <w:t>).</w:t>
      </w:r>
    </w:p>
    <w:p w:rsidR="00E45350" w:rsidRPr="00722E94" w:rsidRDefault="00E45350" w:rsidP="007D5A60">
      <w:pPr>
        <w:pStyle w:val="TCU-SemRecuo"/>
        <w:spacing w:after="120"/>
        <w:ind w:firstLine="709"/>
      </w:pPr>
      <w:r>
        <w:t>8.4.</w:t>
      </w:r>
      <w:r>
        <w:tab/>
      </w:r>
      <w:r w:rsidRPr="00722E94">
        <w:t>Analisando a tabela citada no item 7.2 supra, na qual está calculado o percentual dos acréscimos em relação ao valor do contrato, observa-se que a sistemática de cálculo utilizada pela unidade técnica foi a mesma proposta no item 8.3 acima, estando de pleno acordo com o entendimento manifestado no Acórdão n. 2206/2006 – TCU – Plenário (no mesmo sentido, são os seguintes julgados: Acórdão n. 2439/2008-Plenário; Acórdão n. 1428/2003-Plenário; 1891/2008 – Plenário; e Acórdão n. 872/2008-Plenário).</w:t>
      </w:r>
    </w:p>
    <w:p w:rsidR="00E45350" w:rsidRDefault="00E45350" w:rsidP="007D5A60">
      <w:pPr>
        <w:pStyle w:val="TCU-SemRecuo"/>
        <w:spacing w:after="120"/>
        <w:ind w:firstLine="709"/>
      </w:pPr>
      <w:r>
        <w:t>8.5.</w:t>
      </w:r>
      <w:r>
        <w:tab/>
      </w:r>
      <w:r w:rsidRPr="00722E94">
        <w:t>Não vislumbramos, portanto, o equívoco apontado, de modo que foi o recorrente, e não a unidade técnica, que fez uma má interpretação do Acórdão n. 2206/2006 – TCU – Plenário.</w:t>
      </w:r>
    </w:p>
    <w:p w:rsidR="00E45350" w:rsidRPr="00E016B5" w:rsidRDefault="00E45350" w:rsidP="007D5A60">
      <w:pPr>
        <w:pStyle w:val="TCU-SemRecuo"/>
        <w:spacing w:after="120"/>
        <w:ind w:firstLine="709"/>
      </w:pPr>
      <w:r>
        <w:t>8.6.</w:t>
      </w:r>
      <w:r>
        <w:tab/>
      </w:r>
      <w:r w:rsidRPr="00E016B5">
        <w:t>Neste ponto, é oportuno destacar que, caso não adotássemos o entendimento do mencionado acórdão, e considerássemos como referência para o cálculo dos 25% o valor original do contrato, sem subtrair as supressões – o que, com a devida vênia àqueles que entendem de maneira diversa, nos parece à melhor alternativa – ainda assim os acréscimos realizados superariam o limite legal, totalizando 31,1% do valor original do contrato, conforme já dito no item 20 da instrução de fls. 236/240, v.p..</w:t>
      </w:r>
    </w:p>
    <w:p w:rsidR="00E45350" w:rsidRPr="00722E94" w:rsidRDefault="00E45350" w:rsidP="007D5A60">
      <w:pPr>
        <w:pStyle w:val="TCU-SemRecuo"/>
        <w:spacing w:after="120"/>
        <w:ind w:firstLine="709"/>
      </w:pPr>
      <w:r>
        <w:t>8.7.</w:t>
      </w:r>
      <w:r>
        <w:tab/>
      </w:r>
      <w:r w:rsidRPr="00722E94">
        <w:t xml:space="preserve">Não há, pois, como acolher a alegação em favor da recorrente. </w:t>
      </w:r>
    </w:p>
    <w:p w:rsidR="00E45350" w:rsidRDefault="00E45350" w:rsidP="007D5A60">
      <w:pPr>
        <w:pStyle w:val="TCU-SemRecuo"/>
        <w:spacing w:after="120"/>
        <w:ind w:firstLine="709"/>
      </w:pPr>
      <w:r w:rsidRPr="00B93973">
        <w:t>9.</w:t>
      </w:r>
      <w:r w:rsidRPr="00B93973">
        <w:tab/>
      </w:r>
      <w:r w:rsidRPr="00A256E1">
        <w:rPr>
          <w:b/>
        </w:rPr>
        <w:t>Argumento</w:t>
      </w:r>
      <w:r w:rsidRPr="00E45350">
        <w:t>: ausência de violação da Lei n. 8666/93 (fl. 7/8, anexo 3)</w:t>
      </w:r>
      <w:r w:rsidRPr="00E56A11">
        <w:t>. Não existe restrição legal à supressão de valores acima dos percentuais criados pela Lei n. 8666/93. As alterações contratuais ocorreram concomitantemente, pois, à medida que se faziam inserções, promoviam-se supressões, conforme demonstrado nas razões de justificativa apresentadas. Os aditamentos descritos (vide fl. 7, anexo 3)</w:t>
      </w:r>
      <w:r>
        <w:t xml:space="preserve"> demonstram que</w:t>
      </w:r>
      <w:r w:rsidRPr="00E56A11">
        <w:t xml:space="preserve"> não procede a afirmação de que foram realizadas supressões no valor </w:t>
      </w:r>
      <w:r>
        <w:t xml:space="preserve">total de R$ 6.027.029,67 e acréscimos no total de 5.352.024,87, pois houve uma economia para o erário, já que o contrato foi firmado por R$ 16.166.884,37 e reduzido para R$ 15.841.401,47, não se podendo falar em ato antieconômico. </w:t>
      </w:r>
    </w:p>
    <w:p w:rsidR="00E45350" w:rsidRDefault="00E45350" w:rsidP="007D5A60">
      <w:pPr>
        <w:pStyle w:val="TCU-SemRecuo"/>
        <w:spacing w:after="120"/>
        <w:ind w:firstLine="709"/>
      </w:pPr>
      <w:r w:rsidRPr="00B93973">
        <w:t>9.1.</w:t>
      </w:r>
      <w:r w:rsidRPr="00B93973">
        <w:tab/>
      </w:r>
      <w:r w:rsidRPr="00A256E1">
        <w:rPr>
          <w:b/>
        </w:rPr>
        <w:t>Análise:</w:t>
      </w:r>
      <w:r w:rsidRPr="00722E94">
        <w:t xml:space="preserve"> Em primeiro lugar, é oportuno esclarecer que o recorrente </w:t>
      </w:r>
      <w:r w:rsidRPr="00E45350">
        <w:t>não</w:t>
      </w:r>
      <w:r w:rsidRPr="00722E94">
        <w:t xml:space="preserve"> foi apenado por realizar </w:t>
      </w:r>
      <w:r w:rsidRPr="00E45350">
        <w:t>supressões</w:t>
      </w:r>
      <w:r w:rsidRPr="00722E94">
        <w:t xml:space="preserve"> acima do</w:t>
      </w:r>
      <w:r>
        <w:t>s</w:t>
      </w:r>
      <w:r w:rsidRPr="00722E94">
        <w:t xml:space="preserve"> </w:t>
      </w:r>
      <w:r>
        <w:t>percentuais</w:t>
      </w:r>
      <w:r w:rsidRPr="00722E94">
        <w:t xml:space="preserve"> previsto</w:t>
      </w:r>
      <w:r>
        <w:t>s</w:t>
      </w:r>
      <w:r w:rsidRPr="00722E94">
        <w:t xml:space="preserve"> na Lei n. 8666/93, </w:t>
      </w:r>
      <w:r w:rsidRPr="00E45350">
        <w:t>mas por realizar acréscimos</w:t>
      </w:r>
      <w:r w:rsidRPr="00722E94">
        <w:t xml:space="preserve"> contratuais que, somados, ultrapassaram o limite legal de 25% sobre o valor inicial do contrato.</w:t>
      </w:r>
      <w:r>
        <w:t xml:space="preserve"> Por isso, é impertinente a alegação de que não existe restrição legal à supressão de valores acima dos percentuais estabelecidos na Lei n. 8666/93.</w:t>
      </w:r>
    </w:p>
    <w:p w:rsidR="00E45350" w:rsidRDefault="00E45350" w:rsidP="007D5A60">
      <w:pPr>
        <w:pStyle w:val="TCU-SemRecuo"/>
        <w:spacing w:after="120"/>
        <w:ind w:firstLine="709"/>
      </w:pPr>
      <w:r>
        <w:t>9.2.</w:t>
      </w:r>
      <w:r>
        <w:tab/>
      </w:r>
      <w:r w:rsidRPr="00583FC3">
        <w:t>Quanto ao fato de as alterações contratuais (acréscimos e supressões) terem ocorrido concomitantemente</w:t>
      </w:r>
      <w:r>
        <w:t xml:space="preserve">, ele é irrelevante para o caso, pois, conforme a jurisprudência desta corte, para o cálculo do limite de 25%, considera-se o valor total dos acréscimos e supressões, os quais devem ser somados, não se podendo computar os seus valores separadamente, ainda que tenham ocorrido em momentos distintos. Pela mesma razão, também é irrelevante a alegação de que houve uma economia para o erário, com base no argumento de que o valor final do contrato é inferior ao inicial, pois o que está sendo questionado não é o valor final do contrato, mas valor da soma dos acréscimos realizados. </w:t>
      </w:r>
    </w:p>
    <w:p w:rsidR="00E45350" w:rsidRPr="009361FE" w:rsidRDefault="00E45350" w:rsidP="007D5A60">
      <w:pPr>
        <w:pStyle w:val="TCU-SemRecuo"/>
        <w:spacing w:after="120"/>
        <w:ind w:firstLine="709"/>
      </w:pPr>
      <w:r>
        <w:t>9.3.</w:t>
      </w:r>
      <w:r>
        <w:tab/>
        <w:t xml:space="preserve">Essa é a orientação adotada no </w:t>
      </w:r>
      <w:r w:rsidRPr="009361FE">
        <w:t xml:space="preserve">Acórdão </w:t>
      </w:r>
      <w:r>
        <w:t xml:space="preserve">n. </w:t>
      </w:r>
      <w:r w:rsidRPr="009361FE">
        <w:t xml:space="preserve">733/2009 </w:t>
      </w:r>
      <w:r>
        <w:t>–</w:t>
      </w:r>
      <w:r w:rsidRPr="009361FE">
        <w:t xml:space="preserve"> Plenário</w:t>
      </w:r>
      <w:r>
        <w:t>, do qual destacamos o seguinte excerto:</w:t>
      </w:r>
    </w:p>
    <w:p w:rsidR="00E45350" w:rsidRPr="00E45350" w:rsidRDefault="00E45350" w:rsidP="007D5A60">
      <w:pPr>
        <w:pStyle w:val="TCU-SemRecuo"/>
        <w:spacing w:after="120"/>
        <w:ind w:firstLine="709"/>
      </w:pPr>
      <w:r w:rsidRPr="00E45350">
        <w:t>- Acórdão</w:t>
      </w:r>
    </w:p>
    <w:p w:rsidR="00E45350" w:rsidRDefault="00E45350" w:rsidP="007D5A60">
      <w:pPr>
        <w:pStyle w:val="TCU-SemRecuo"/>
        <w:spacing w:after="120"/>
        <w:ind w:firstLine="709"/>
      </w:pPr>
      <w:r>
        <w:t>“</w:t>
      </w:r>
      <w:r w:rsidRPr="009361FE">
        <w:t>9.9. determinar à Fundação de Apoio ao Desenvolvimento da Universidade Federal de Pernambuco - FADE-UFPE que:</w:t>
      </w:r>
    </w:p>
    <w:p w:rsidR="00E45350" w:rsidRPr="009361FE" w:rsidRDefault="00E45350" w:rsidP="007D5A60">
      <w:pPr>
        <w:pStyle w:val="TCU-SemRecuo"/>
        <w:spacing w:after="120"/>
        <w:ind w:firstLine="709"/>
      </w:pPr>
      <w:r>
        <w:t>(...)</w:t>
      </w:r>
    </w:p>
    <w:p w:rsidR="00E45350" w:rsidRPr="00E45350" w:rsidRDefault="00E45350" w:rsidP="007D5A60">
      <w:pPr>
        <w:pStyle w:val="TCU-SemRecuo"/>
        <w:spacing w:after="120"/>
        <w:ind w:firstLine="709"/>
      </w:pPr>
      <w:r w:rsidRPr="009361FE">
        <w:t xml:space="preserve">9.9.3. abstenha-se de autorizar a celebração de termos aditivos que extrapolem o limite de 25% previsto no art. 65, §§ 1º e 2º, Lei nº 8.666/1993, podendo tais limites ser ultrapassados somente quando atendidos cumulativamente todos os pressupostos estabelecidos na Decisão nº 215/1999-TCU-Plenário; </w:t>
      </w:r>
      <w:r w:rsidRPr="00E45350">
        <w:t>esclarecendo ainda que</w:t>
      </w:r>
      <w:r w:rsidRPr="009361FE">
        <w:t xml:space="preserve">: I - </w:t>
      </w:r>
      <w:r w:rsidRPr="00E45350">
        <w:t xml:space="preserve">o limite de </w:t>
      </w:r>
      <w:bookmarkStart w:id="0" w:name="Hit5"/>
      <w:r w:rsidRPr="00E45350">
        <w:t>25</w:t>
      </w:r>
      <w:bookmarkEnd w:id="0"/>
      <w:r w:rsidRPr="00E45350">
        <w:t xml:space="preserve"> % não se refere ao saldo dos acréscimos menos os decréscimos, e sim ao </w:t>
      </w:r>
      <w:bookmarkStart w:id="1" w:name="Hit6"/>
      <w:r w:rsidRPr="00E45350">
        <w:t>total tanto dos acréscimos</w:t>
      </w:r>
      <w:bookmarkEnd w:id="1"/>
      <w:r w:rsidRPr="00E45350">
        <w:t xml:space="preserve"> quanto dos decréscimos;</w:t>
      </w:r>
      <w:r w:rsidRPr="009361FE">
        <w:t xml:space="preserve"> II - para se efetuar o cálculo do valor possível a ser aditado, deve-se, além de atualizar o valor inicial do contrato, atualizar também os valores dos aditivos já efetuados; III - o valor encontrado considerando a atualização do contrato se refere ao valor possível de ser aditado na data em questão, mas, para se efetuar o aditivo a preços iniciais, deve-se deflacionar o valor encontrado até a data-base;</w:t>
      </w:r>
      <w:r>
        <w:t xml:space="preserve">” </w:t>
      </w:r>
      <w:r w:rsidRPr="00E45350">
        <w:t>(grifei)</w:t>
      </w:r>
    </w:p>
    <w:p w:rsidR="00E45350" w:rsidRDefault="00E45350" w:rsidP="007D5A60">
      <w:pPr>
        <w:pStyle w:val="TCU-SemRecuo"/>
        <w:spacing w:after="120"/>
        <w:ind w:firstLine="709"/>
      </w:pPr>
      <w:r>
        <w:t>9.4.</w:t>
      </w:r>
      <w:r>
        <w:tab/>
        <w:t>Por fim, cabe lembrar que, conforme já dito no item 6.4 supra, não se imputou ao recorrente a pratica de ato antieconômico, e sim de ato ilegal, para o qual basta a configuração de grave infração à norma legal ou regulamentar, sendo prescindível o caráter antieconômico da conduta.</w:t>
      </w:r>
    </w:p>
    <w:p w:rsidR="00E45350" w:rsidRPr="00E016B5" w:rsidRDefault="00E45350" w:rsidP="007D5A60">
      <w:pPr>
        <w:pStyle w:val="TCU-SemRecuo"/>
        <w:spacing w:after="120"/>
        <w:ind w:firstLine="709"/>
      </w:pPr>
      <w:r>
        <w:t>9.5.</w:t>
      </w:r>
      <w:r>
        <w:tab/>
      </w:r>
      <w:r w:rsidRPr="00E016B5">
        <w:t>Não há, pois, como acolher a alegação em favor do recorrente.</w:t>
      </w:r>
    </w:p>
    <w:p w:rsidR="00E45350" w:rsidRPr="00B93973" w:rsidRDefault="00E45350" w:rsidP="007D5A60">
      <w:pPr>
        <w:pStyle w:val="TCU-SemRecuo"/>
        <w:spacing w:after="120"/>
        <w:ind w:firstLine="709"/>
      </w:pPr>
      <w:r w:rsidRPr="00B93973">
        <w:t>DA PROPOSTA DE ENCAMINHAMENTO</w:t>
      </w:r>
    </w:p>
    <w:p w:rsidR="00E45350" w:rsidRPr="00E016B5" w:rsidRDefault="00E45350" w:rsidP="007D5A60">
      <w:pPr>
        <w:pStyle w:val="TCU-SemRecuo"/>
        <w:spacing w:after="120"/>
        <w:ind w:firstLine="709"/>
      </w:pPr>
      <w:r>
        <w:t>9.6.</w:t>
      </w:r>
      <w:r>
        <w:tab/>
      </w:r>
      <w:r w:rsidRPr="00E016B5">
        <w:t>Ante o exposto, elevamos os autos à consideração superior, propondo a esta Suprema Corte de Contas que:</w:t>
      </w:r>
    </w:p>
    <w:p w:rsidR="00E45350" w:rsidRPr="00E45350" w:rsidRDefault="00E45350" w:rsidP="007D5A60">
      <w:pPr>
        <w:pStyle w:val="TCU-SemRecuo"/>
        <w:spacing w:after="120"/>
        <w:ind w:firstLine="709"/>
      </w:pPr>
      <w:r w:rsidRPr="00E45350">
        <w:t xml:space="preserve">a) com base no art. 48 combinado com os arts. 32 e 33, da Lei nº 8.443/92, </w:t>
      </w:r>
      <w:r w:rsidRPr="00E016B5">
        <w:t>seja conhecido</w:t>
      </w:r>
      <w:r w:rsidRPr="00E45350">
        <w:t xml:space="preserve"> o presente pedido de reexame, para, no mérito, </w:t>
      </w:r>
      <w:r w:rsidRPr="00E016B5">
        <w:t>negar-lhe provimento</w:t>
      </w:r>
      <w:r w:rsidRPr="00E45350">
        <w:t>, mantendo-se os exatos termos do Acórdão nº 1192/2009 – TCU – Plenário;</w:t>
      </w:r>
    </w:p>
    <w:p w:rsidR="00E45350" w:rsidRDefault="00E45350" w:rsidP="007D5A60">
      <w:pPr>
        <w:pStyle w:val="TCU-SemRecuo"/>
        <w:spacing w:after="120"/>
        <w:ind w:firstLine="709"/>
      </w:pPr>
      <w:r w:rsidRPr="00E45350">
        <w:t>b) seja dada ciência ao e ao recorrente do inteiro teor da deliberação que vier a ser adotada pelo Tribunal, encaminhando-lhes cópia da decisão e dos respectivos relatório e voto.</w:t>
      </w:r>
      <w:r w:rsidR="007D5A60">
        <w:t>”</w:t>
      </w:r>
      <w:r w:rsidR="00A256E1">
        <w:t>,</w:t>
      </w:r>
    </w:p>
    <w:p w:rsidR="00A256E1" w:rsidRPr="00A256E1" w:rsidRDefault="00A256E1" w:rsidP="00A256E1">
      <w:pPr>
        <w:pStyle w:val="TCU-SemRecuo"/>
        <w:spacing w:after="120"/>
        <w:ind w:firstLine="709"/>
      </w:pPr>
      <w:r w:rsidRPr="00C93D3B">
        <w:t>É o relatório.</w:t>
      </w:r>
    </w:p>
    <w:p w:rsidR="0087471B" w:rsidRDefault="0087471B" w:rsidP="007D5A60">
      <w:pPr>
        <w:pStyle w:val="TCU-SemRecuo"/>
        <w:spacing w:after="120"/>
        <w:ind w:firstLine="709"/>
      </w:pPr>
    </w:p>
    <w:p w:rsidR="0087471B" w:rsidRPr="0039071C" w:rsidRDefault="0087471B" w:rsidP="00AD3C90">
      <w:pPr>
        <w:jc w:val="both"/>
        <w:rPr>
          <w:szCs w:val="24"/>
        </w:rPr>
      </w:pPr>
    </w:p>
    <w:p w:rsidR="0087471B" w:rsidRPr="0039071C" w:rsidRDefault="0087471B" w:rsidP="008D43AA">
      <w:pPr>
        <w:pStyle w:val="TCU-Epgrafe"/>
        <w:ind w:left="0"/>
        <w:jc w:val="center"/>
        <w:rPr>
          <w:u w:val="single"/>
        </w:rPr>
      </w:pPr>
      <w:r w:rsidRPr="0039071C">
        <w:t>VOTO</w:t>
      </w:r>
    </w:p>
    <w:p w:rsidR="0087471B" w:rsidRPr="0039071C" w:rsidRDefault="0087471B" w:rsidP="008D43AA">
      <w:pPr>
        <w:pStyle w:val="TCU-Epgrafe"/>
        <w:ind w:left="0"/>
        <w:jc w:val="center"/>
      </w:pPr>
    </w:p>
    <w:p w:rsidR="0087471B" w:rsidRPr="00A3691C" w:rsidRDefault="0087471B" w:rsidP="00281FF0">
      <w:pPr>
        <w:pStyle w:val="TCU-SemRecuo"/>
        <w:spacing w:after="120"/>
        <w:ind w:firstLine="709"/>
        <w:rPr>
          <w:szCs w:val="24"/>
        </w:rPr>
      </w:pPr>
      <w:r w:rsidRPr="00A3691C">
        <w:rPr>
          <w:szCs w:val="24"/>
        </w:rPr>
        <w:t xml:space="preserve">Trata-se de Pedido de Reexame interposto por Marcus Alexandre Médici Aguiar, Diretor Geral do </w:t>
      </w:r>
      <w:r w:rsidRPr="00A3691C">
        <w:rPr>
          <w:color w:val="000000"/>
          <w:szCs w:val="24"/>
        </w:rPr>
        <w:t xml:space="preserve">Departamento de Estradas de Rodagem do Acre – Deracre, em face do </w:t>
      </w:r>
      <w:r w:rsidRPr="00A3691C">
        <w:rPr>
          <w:szCs w:val="24"/>
        </w:rPr>
        <w:t xml:space="preserve">Acórdão 1192/2009-Plenário. </w:t>
      </w:r>
    </w:p>
    <w:p w:rsidR="0087471B" w:rsidRPr="00A3691C" w:rsidRDefault="0087471B" w:rsidP="00281FF0">
      <w:pPr>
        <w:pStyle w:val="TCU-SemRecuo"/>
        <w:spacing w:after="120"/>
        <w:ind w:firstLine="709"/>
        <w:rPr>
          <w:szCs w:val="24"/>
        </w:rPr>
      </w:pPr>
      <w:r w:rsidRPr="00A3691C">
        <w:rPr>
          <w:szCs w:val="24"/>
        </w:rPr>
        <w:t xml:space="preserve">Por meio do referido acórdão, foi apreciado acompanhamento constituído na forma de apartado ao TC 007.931/2007-5 (item 9.6 do Acórdão n. 950/2008- Plenário), o qual trata de auditoria realizada nas obras de construção de trecho rodoviário na BR-317 no Estado do Acre (Fiscobras 2007). As obras, cabe destacar, foram concluídas ao preço de R$ 15.491.874,57 (fl. 185, v.p.). </w:t>
      </w:r>
    </w:p>
    <w:p w:rsidR="0087471B" w:rsidRPr="00A3691C" w:rsidRDefault="0087471B" w:rsidP="00281FF0">
      <w:pPr>
        <w:pStyle w:val="TCU-SemRecuo"/>
        <w:spacing w:after="120"/>
        <w:ind w:firstLine="709"/>
        <w:rPr>
          <w:szCs w:val="24"/>
        </w:rPr>
      </w:pPr>
      <w:r w:rsidRPr="00A3691C">
        <w:rPr>
          <w:szCs w:val="24"/>
        </w:rPr>
        <w:t>Na ocasião, após analisar as razões de justificativas apresentados pelos responsáveis, esta Corte aplicou ao Sr. Marcus Alexandre Médici Aguiar a multa prevista no art. 58, II, da Lei 8443/1992, no valor de R$ 5.000,00 em virtude de:</w:t>
      </w:r>
    </w:p>
    <w:p w:rsidR="0087471B" w:rsidRPr="00A3691C" w:rsidRDefault="0087471B" w:rsidP="00281FF0">
      <w:pPr>
        <w:pStyle w:val="TCU-SemRecuo"/>
        <w:spacing w:after="120"/>
        <w:ind w:firstLine="709"/>
        <w:rPr>
          <w:szCs w:val="24"/>
        </w:rPr>
      </w:pPr>
      <w:r w:rsidRPr="00A3691C">
        <w:rPr>
          <w:szCs w:val="24"/>
        </w:rPr>
        <w:t>a) ter aprovado a inclusão de novos serviços com preços superiores aos de referência oficial, em desobediência ao que estabelecem os arts. 40, inciso X, e 43, inciso IV, da Lei 8.666/1993;</w:t>
      </w:r>
    </w:p>
    <w:p w:rsidR="0087471B" w:rsidRPr="00A3691C" w:rsidRDefault="0087471B" w:rsidP="00281FF0">
      <w:pPr>
        <w:pStyle w:val="TCU-SemRecuo"/>
        <w:spacing w:after="120"/>
        <w:ind w:firstLine="709"/>
        <w:rPr>
          <w:szCs w:val="24"/>
        </w:rPr>
      </w:pPr>
      <w:r w:rsidRPr="00A3691C">
        <w:rPr>
          <w:szCs w:val="24"/>
        </w:rPr>
        <w:t xml:space="preserve">b) ter promovido alterações contratuais superiores aos limites legais, infringindo o art. 65, § 1º, da mesma lei. </w:t>
      </w:r>
    </w:p>
    <w:p w:rsidR="0087471B" w:rsidRPr="00A3691C" w:rsidRDefault="0087471B" w:rsidP="00281FF0">
      <w:pPr>
        <w:pStyle w:val="Corpo"/>
        <w:tabs>
          <w:tab w:val="clear" w:pos="2268"/>
        </w:tabs>
        <w:spacing w:before="0" w:after="120"/>
        <w:ind w:firstLine="709"/>
        <w:rPr>
          <w:szCs w:val="24"/>
        </w:rPr>
      </w:pPr>
      <w:r w:rsidRPr="00A3691C">
        <w:rPr>
          <w:szCs w:val="24"/>
        </w:rPr>
        <w:t xml:space="preserve">Por estarem presentes os requisitos de admissibilidade, entendo pertinente conhecer do presente recurso e adentrar-lhe o mérito. </w:t>
      </w:r>
    </w:p>
    <w:p w:rsidR="0087471B" w:rsidRPr="00A3691C" w:rsidRDefault="0087471B" w:rsidP="00281FF0">
      <w:pPr>
        <w:pStyle w:val="Corpo"/>
        <w:tabs>
          <w:tab w:val="clear" w:pos="2268"/>
        </w:tabs>
        <w:spacing w:before="0" w:after="120"/>
        <w:ind w:firstLine="0"/>
        <w:jc w:val="center"/>
        <w:rPr>
          <w:szCs w:val="24"/>
        </w:rPr>
      </w:pPr>
      <w:r w:rsidRPr="00A3691C">
        <w:rPr>
          <w:szCs w:val="24"/>
        </w:rPr>
        <w:t>II</w:t>
      </w:r>
    </w:p>
    <w:p w:rsidR="0087471B" w:rsidRPr="00A3691C" w:rsidRDefault="0087471B" w:rsidP="00281FF0">
      <w:pPr>
        <w:pStyle w:val="Corpo"/>
        <w:tabs>
          <w:tab w:val="clear" w:pos="2268"/>
        </w:tabs>
        <w:spacing w:before="0" w:after="120"/>
        <w:ind w:firstLine="709"/>
        <w:rPr>
          <w:szCs w:val="24"/>
        </w:rPr>
      </w:pPr>
      <w:r w:rsidRPr="00A3691C">
        <w:rPr>
          <w:szCs w:val="24"/>
        </w:rPr>
        <w:t>A primeira</w:t>
      </w:r>
      <w:r>
        <w:rPr>
          <w:szCs w:val="24"/>
        </w:rPr>
        <w:t xml:space="preserve"> ocorrência consiste na</w:t>
      </w:r>
      <w:r w:rsidRPr="00A3691C">
        <w:rPr>
          <w:szCs w:val="24"/>
        </w:rPr>
        <w:t xml:space="preserve"> inclusão de quatro serviços novos na planilha contratual por preços superiores aos que seriam de referência oficial (Sicro). </w:t>
      </w:r>
    </w:p>
    <w:p w:rsidR="0087471B" w:rsidRDefault="0087471B" w:rsidP="00281FF0">
      <w:pPr>
        <w:pStyle w:val="Corpo"/>
        <w:tabs>
          <w:tab w:val="clear" w:pos="2268"/>
        </w:tabs>
        <w:spacing w:before="0" w:after="120"/>
        <w:ind w:firstLine="709"/>
        <w:rPr>
          <w:szCs w:val="24"/>
        </w:rPr>
      </w:pPr>
      <w:r w:rsidRPr="00A3691C">
        <w:rPr>
          <w:szCs w:val="24"/>
        </w:rPr>
        <w:t xml:space="preserve">Acontece que, quando da inclusão desses serviços, foram incluídos outros quatro cujos preços eram inferiores aos de referência. Da soma total desses oito novos serviços (R$ 2.322.660,96), resultou preços menores em R$ 85.048,42 ao que resultaria da simples aplicação a todos </w:t>
      </w:r>
      <w:r>
        <w:rPr>
          <w:szCs w:val="24"/>
        </w:rPr>
        <w:t>esses</w:t>
      </w:r>
      <w:r w:rsidRPr="00A3691C">
        <w:rPr>
          <w:szCs w:val="24"/>
        </w:rPr>
        <w:t xml:space="preserve"> serviços dos valores oficiais de referência. (fls. 186 e 224)</w:t>
      </w:r>
    </w:p>
    <w:p w:rsidR="0087471B" w:rsidRPr="00A3691C" w:rsidRDefault="0087471B" w:rsidP="00281FF0">
      <w:pPr>
        <w:pStyle w:val="Corpo"/>
        <w:tabs>
          <w:tab w:val="clear" w:pos="2268"/>
        </w:tabs>
        <w:spacing w:before="0" w:after="120"/>
        <w:ind w:firstLine="709"/>
        <w:rPr>
          <w:szCs w:val="24"/>
        </w:rPr>
      </w:pPr>
      <w:r>
        <w:rPr>
          <w:szCs w:val="24"/>
        </w:rPr>
        <w:t>Desta feita, registro que se trata aqui de situação substancialmente diferente daquela encontrada no TC-008.254/1999-0 também de minha relatoria e que levou o Plenário desta Corte a prolatar o Acórdão 2849/2010 na Sessão de 27/10/2010. Naquele TC tratou-se de aditamentos contratuais que incluíram um único item com sobrepreço, de forma que os aditivos considerados com um todo foram economicamente prejudiciais à Administração. Aqui, como antes exposto, o aditivo foi vantajoso economicamente para a Administração.</w:t>
      </w:r>
    </w:p>
    <w:p w:rsidR="0087471B" w:rsidRPr="00A3691C" w:rsidRDefault="0087471B" w:rsidP="00281FF0">
      <w:pPr>
        <w:pStyle w:val="Corpo"/>
        <w:tabs>
          <w:tab w:val="clear" w:pos="2268"/>
        </w:tabs>
        <w:spacing w:before="0" w:after="120"/>
        <w:ind w:firstLine="709"/>
        <w:rPr>
          <w:szCs w:val="24"/>
        </w:rPr>
      </w:pPr>
      <w:r w:rsidRPr="005F75EB">
        <w:rPr>
          <w:szCs w:val="24"/>
          <w:highlight w:val="yellow"/>
        </w:rPr>
        <w:t>A respeito, não é demais lembrar que tanto a recente jurisprudência do TCU (</w:t>
      </w:r>
      <w:r w:rsidRPr="005F75EB">
        <w:rPr>
          <w:b/>
          <w:szCs w:val="24"/>
          <w:highlight w:val="yellow"/>
        </w:rPr>
        <w:t xml:space="preserve">v.g. </w:t>
      </w:r>
      <w:r w:rsidRPr="005F75EB">
        <w:rPr>
          <w:szCs w:val="24"/>
          <w:highlight w:val="yellow"/>
        </w:rPr>
        <w:t>Acórdãos Plenários 1120/2010, 1200/2010 e 2066/2010) quanto a legislação que rege atualmente a matéria são no sentido de que os aditivos contratuais devem manter as condições financeiras verificadas quando da contratação. Ou seja, se a obra possui valores globais em determinada proporção dos valores obtidos dos preços unitários de referência, essa proporção deve ser mantida quando da ocorrência de aditivos contratuais. Busca-se assim evitar o chamado ‘jogo de planilha’.</w:t>
      </w:r>
      <w:r w:rsidRPr="00A3691C">
        <w:rPr>
          <w:szCs w:val="24"/>
        </w:rPr>
        <w:t xml:space="preserve"> </w:t>
      </w:r>
    </w:p>
    <w:p w:rsidR="0087471B" w:rsidRPr="00A3691C" w:rsidRDefault="0087471B" w:rsidP="00281FF0">
      <w:pPr>
        <w:pStyle w:val="Corpo"/>
        <w:tabs>
          <w:tab w:val="clear" w:pos="2268"/>
        </w:tabs>
        <w:spacing w:before="0" w:after="120"/>
        <w:ind w:firstLine="709"/>
        <w:rPr>
          <w:szCs w:val="24"/>
        </w:rPr>
      </w:pPr>
      <w:r w:rsidRPr="00A3691C">
        <w:rPr>
          <w:szCs w:val="24"/>
        </w:rPr>
        <w:t>Essa regra veio explicitada no bojo do § 6 do art. 109 da Lei 11.768/08 (LDO 2009) e foi, com pequenas alterações, seguida nas leis de diretrizes orçamentárias posteriores:</w:t>
      </w:r>
    </w:p>
    <w:p w:rsidR="0087471B" w:rsidRPr="00A3691C" w:rsidRDefault="0087471B" w:rsidP="00281FF0">
      <w:pPr>
        <w:pStyle w:val="Corpo"/>
        <w:tabs>
          <w:tab w:val="clear" w:pos="2268"/>
        </w:tabs>
        <w:spacing w:before="0" w:after="120"/>
        <w:ind w:firstLine="709"/>
        <w:rPr>
          <w:szCs w:val="24"/>
        </w:rPr>
      </w:pPr>
      <w:r w:rsidRPr="00A3691C">
        <w:rPr>
          <w:szCs w:val="24"/>
        </w:rPr>
        <w:t>“</w:t>
      </w:r>
      <w:r w:rsidRPr="00F10BB4">
        <w:rPr>
          <w:b/>
          <w:szCs w:val="24"/>
        </w:rPr>
        <w:t>A diferença percentual entre o valor global do contrato e o obtido a partir dos custos unitários do Sinapi não poderá ser reduzida, em favor do contratado, em decorrência de aditamentos</w:t>
      </w:r>
      <w:r w:rsidRPr="00A3691C">
        <w:rPr>
          <w:szCs w:val="24"/>
        </w:rPr>
        <w:t xml:space="preserve"> que modifiquem a planilha orçamentária.” </w:t>
      </w:r>
      <w:r>
        <w:rPr>
          <w:szCs w:val="24"/>
        </w:rPr>
        <w:t xml:space="preserve">(grifei) </w:t>
      </w:r>
    </w:p>
    <w:p w:rsidR="0087471B" w:rsidRDefault="0087471B" w:rsidP="00281FF0">
      <w:pPr>
        <w:pStyle w:val="Corpo"/>
        <w:tabs>
          <w:tab w:val="clear" w:pos="2268"/>
        </w:tabs>
        <w:spacing w:before="0" w:after="120"/>
        <w:ind w:firstLine="709"/>
        <w:rPr>
          <w:szCs w:val="24"/>
        </w:rPr>
      </w:pPr>
      <w:r w:rsidRPr="00A3691C">
        <w:rPr>
          <w:szCs w:val="24"/>
        </w:rPr>
        <w:t xml:space="preserve">Desta feita, </w:t>
      </w:r>
      <w:r>
        <w:rPr>
          <w:szCs w:val="24"/>
        </w:rPr>
        <w:t>caberia não uma análise destacada dos serviços novos incluídos no contrato, mas do impacto financeiro do conjunto de alterações decorrentes dos aditivos contratuais, englobando tanto os preços dos novos serviços quanto dos preços dos serviços que tiveram os quantitativos alterados. Tal entendimento foi adequadamente explicitado no voto condutor do Acórdão 296/2004-Plenário:</w:t>
      </w:r>
    </w:p>
    <w:p w:rsidR="0087471B" w:rsidRPr="00F10BB4" w:rsidRDefault="0087471B" w:rsidP="00281FF0">
      <w:pPr>
        <w:pStyle w:val="Corpo"/>
        <w:tabs>
          <w:tab w:val="clear" w:pos="2268"/>
        </w:tabs>
        <w:spacing w:before="0" w:after="120"/>
        <w:ind w:firstLine="709"/>
        <w:rPr>
          <w:szCs w:val="24"/>
        </w:rPr>
      </w:pPr>
      <w:r>
        <w:rPr>
          <w:szCs w:val="24"/>
        </w:rPr>
        <w:t>“</w:t>
      </w:r>
      <w:r w:rsidRPr="00F10BB4">
        <w:rPr>
          <w:szCs w:val="24"/>
        </w:rPr>
        <w:t xml:space="preserve">esta Corte de Contas tem agido com vistas à recomposição do dinheiro público no caso de superfaturamento de preços em itens posteriormente acrescentados ao projeto. Afirmei, ainda, que </w:t>
      </w:r>
      <w:r w:rsidRPr="00F10BB4">
        <w:rPr>
          <w:b/>
          <w:szCs w:val="24"/>
        </w:rPr>
        <w:t>o entendimento já comum no Tribunal é o de que, estando o preço global no limite aceitável, dado pelo orçamento da licitação, os sobrepreços existentes, devido à falta de critérios de aceitabilidade de preços unitários, apenas causam prejuízos quando se acrescentam quantitativos aos itens de serviço correspondentes, porque, até esse momento, o valor contratado representava o equilíbrio entre preços altos e baixos, apesar do vício de origem</w:t>
      </w:r>
      <w:r w:rsidRPr="00F10BB4">
        <w:rPr>
          <w:szCs w:val="24"/>
        </w:rPr>
        <w:t>.</w:t>
      </w:r>
    </w:p>
    <w:p w:rsidR="0087471B" w:rsidRPr="00F10BB4" w:rsidRDefault="0087471B" w:rsidP="00281FF0">
      <w:pPr>
        <w:pStyle w:val="Corpo"/>
        <w:tabs>
          <w:tab w:val="clear" w:pos="2268"/>
        </w:tabs>
        <w:spacing w:before="0" w:after="120"/>
        <w:ind w:firstLine="709"/>
        <w:rPr>
          <w:szCs w:val="24"/>
        </w:rPr>
      </w:pPr>
      <w:r w:rsidRPr="00F10BB4">
        <w:rPr>
          <w:szCs w:val="24"/>
        </w:rPr>
        <w:t xml:space="preserve">O acréscimo de quantitativo em itens com sobrepreço leva à perda do equilíbrio inicial do preço global se não houver a correspondente diminuição de quantitativo em itens com preços a menor. Para se aferir o montante do débito ao erário, </w:t>
      </w:r>
      <w:r w:rsidRPr="00F10BB4">
        <w:rPr>
          <w:b/>
          <w:szCs w:val="24"/>
        </w:rPr>
        <w:t>faz-se necessário um balanço dos efeitos financeiros dessas alterações, computando-se todos os itens que passaram por alteração de quantitativos, seja por acréscimo, seja por diminuição. Só assim se garante a permanência do equilíbrio inicial, tanto em favor da administração quanto da empresa contratada</w:t>
      </w:r>
      <w:r w:rsidRPr="00F10BB4">
        <w:rPr>
          <w:szCs w:val="24"/>
        </w:rPr>
        <w:t>.</w:t>
      </w:r>
      <w:r>
        <w:rPr>
          <w:szCs w:val="24"/>
        </w:rPr>
        <w:t xml:space="preserve">” (grifei) </w:t>
      </w:r>
    </w:p>
    <w:p w:rsidR="0087471B" w:rsidRDefault="0087471B" w:rsidP="00281FF0">
      <w:pPr>
        <w:pStyle w:val="Corpo"/>
        <w:tabs>
          <w:tab w:val="clear" w:pos="2268"/>
        </w:tabs>
        <w:spacing w:before="0" w:after="120"/>
        <w:ind w:firstLine="709"/>
        <w:rPr>
          <w:szCs w:val="24"/>
        </w:rPr>
      </w:pPr>
      <w:r>
        <w:rPr>
          <w:szCs w:val="24"/>
        </w:rPr>
        <w:t>Sob essa ótica, verifico que os aditivos contratuais como um todo</w:t>
      </w:r>
      <w:r w:rsidRPr="00FD5A1D">
        <w:rPr>
          <w:szCs w:val="24"/>
        </w:rPr>
        <w:t xml:space="preserve"> </w:t>
      </w:r>
      <w:r w:rsidRPr="00A3691C">
        <w:rPr>
          <w:szCs w:val="24"/>
        </w:rPr>
        <w:t xml:space="preserve">propiciaram a redução de cerca de R$ 670.000,00 no valor contratado. Mais. Quando comparados com os valores de referência oficial (Sicro), o contrato apresentava uma diferença </w:t>
      </w:r>
      <w:r>
        <w:rPr>
          <w:szCs w:val="24"/>
        </w:rPr>
        <w:t xml:space="preserve">a maior </w:t>
      </w:r>
      <w:r w:rsidRPr="00A3691C">
        <w:rPr>
          <w:szCs w:val="24"/>
        </w:rPr>
        <w:t>de 8,4% e</w:t>
      </w:r>
      <w:r>
        <w:rPr>
          <w:szCs w:val="24"/>
        </w:rPr>
        <w:t>,</w:t>
      </w:r>
      <w:r w:rsidRPr="00A3691C">
        <w:rPr>
          <w:szCs w:val="24"/>
        </w:rPr>
        <w:t xml:space="preserve"> após </w:t>
      </w:r>
      <w:r>
        <w:rPr>
          <w:szCs w:val="24"/>
        </w:rPr>
        <w:t>ess</w:t>
      </w:r>
      <w:r w:rsidRPr="00A3691C">
        <w:rPr>
          <w:szCs w:val="24"/>
        </w:rPr>
        <w:t>as alterações contratuais</w:t>
      </w:r>
      <w:r>
        <w:rPr>
          <w:szCs w:val="24"/>
        </w:rPr>
        <w:t>,</w:t>
      </w:r>
      <w:r w:rsidRPr="00A3691C">
        <w:rPr>
          <w:szCs w:val="24"/>
        </w:rPr>
        <w:t xml:space="preserve"> passou a apresentar uma diferença </w:t>
      </w:r>
      <w:r>
        <w:rPr>
          <w:szCs w:val="24"/>
        </w:rPr>
        <w:t xml:space="preserve">a maior </w:t>
      </w:r>
      <w:r w:rsidRPr="00A3691C">
        <w:rPr>
          <w:szCs w:val="24"/>
        </w:rPr>
        <w:t>de 0,21%. (fls. 179 e 181, v.p.)</w:t>
      </w:r>
    </w:p>
    <w:p w:rsidR="0087471B" w:rsidRDefault="0087471B" w:rsidP="00281FF0">
      <w:pPr>
        <w:pStyle w:val="Corpo"/>
        <w:tabs>
          <w:tab w:val="clear" w:pos="2268"/>
        </w:tabs>
        <w:spacing w:before="0" w:after="120"/>
        <w:ind w:firstLine="709"/>
        <w:rPr>
          <w:szCs w:val="24"/>
        </w:rPr>
      </w:pPr>
      <w:r>
        <w:rPr>
          <w:szCs w:val="24"/>
        </w:rPr>
        <w:t xml:space="preserve">Desta feita, a conduta do gestor foi além do preconizado pela norma, pois melhorou em favor da Administração a situação contratual em relação aos valores de referência. </w:t>
      </w:r>
    </w:p>
    <w:p w:rsidR="0087471B" w:rsidRDefault="0087471B" w:rsidP="00281FF0">
      <w:pPr>
        <w:pStyle w:val="Corpo"/>
        <w:tabs>
          <w:tab w:val="clear" w:pos="2268"/>
        </w:tabs>
        <w:spacing w:before="0" w:after="120"/>
        <w:ind w:firstLine="709"/>
        <w:rPr>
          <w:szCs w:val="24"/>
        </w:rPr>
      </w:pPr>
      <w:r>
        <w:rPr>
          <w:szCs w:val="24"/>
        </w:rPr>
        <w:t>Apenas por argumentar, caso se considere apenas os serviços novos incluídos nos aditivos, aplicar-se-ia a mesma conclusão, pois esses serviços novos, como visto, também apresentavam preços inferiores aos de referência.</w:t>
      </w:r>
    </w:p>
    <w:p w:rsidR="0087471B" w:rsidRDefault="0087471B" w:rsidP="00281FF0">
      <w:pPr>
        <w:pStyle w:val="Corpo"/>
        <w:tabs>
          <w:tab w:val="clear" w:pos="2268"/>
        </w:tabs>
        <w:spacing w:before="0" w:after="120"/>
        <w:ind w:firstLine="709"/>
        <w:rPr>
          <w:szCs w:val="24"/>
        </w:rPr>
      </w:pPr>
      <w:r>
        <w:rPr>
          <w:szCs w:val="24"/>
        </w:rPr>
        <w:t xml:space="preserve">Destaco, que, de acordo com o âmbito de devolutividade do recurso, </w:t>
      </w:r>
      <w:r>
        <w:t>não se está aqui a analisar a conduta referente à contratação inicial por preços superiores aos de referência, até porque não foi essa ocorrência submetida ao prévio contraditório.</w:t>
      </w:r>
    </w:p>
    <w:p w:rsidR="0087471B" w:rsidRPr="00A3691C" w:rsidRDefault="0087471B" w:rsidP="00281FF0">
      <w:pPr>
        <w:pStyle w:val="Corpo"/>
        <w:tabs>
          <w:tab w:val="clear" w:pos="2268"/>
        </w:tabs>
        <w:spacing w:before="0" w:after="120"/>
        <w:ind w:firstLine="709"/>
        <w:rPr>
          <w:szCs w:val="24"/>
        </w:rPr>
      </w:pPr>
      <w:r w:rsidRPr="00A3691C">
        <w:rPr>
          <w:szCs w:val="24"/>
        </w:rPr>
        <w:t>Outrossim, observo que os dispositivos tidos por violados referem-se à fixação no edital de critério de aceitabilidade, conforme o caso, de preços unitários e global (art. 40, X, da Lei 8.666/93) e verificação da proposta com os preços de mercado ou fixados pelo órgão oficial competente (art. 43, IV, da Lei 8.666/93). Trata-se, pois ,de situações que não se amoldam exatamente à conduta do gestor. Isso porque, desses dispositivos resta permitida a interpretação de que propostas com preços globais compatíveis com os preços de mercado ou fixados pelo órgão oficial competente podem ser aceitas mesmo que alguns dos preços unitários sejam superiores a essas referências.</w:t>
      </w:r>
    </w:p>
    <w:p w:rsidR="0087471B" w:rsidRPr="00A3691C" w:rsidRDefault="0087471B" w:rsidP="00281FF0">
      <w:pPr>
        <w:pStyle w:val="Corpo"/>
        <w:tabs>
          <w:tab w:val="clear" w:pos="2268"/>
        </w:tabs>
        <w:spacing w:before="0" w:after="120"/>
        <w:ind w:firstLine="709"/>
        <w:rPr>
          <w:szCs w:val="24"/>
        </w:rPr>
      </w:pPr>
      <w:r w:rsidRPr="00A3691C">
        <w:rPr>
          <w:szCs w:val="24"/>
        </w:rPr>
        <w:t>É bem verdade que em sucessivas leis de diretrizes orçamentárias constou a regra de que os custos unitários de obras devem estar limitados ao valor de referência oficial, de forma que, em uma interpretação literal, seria ilícita a conduta do gestor. A matéria foi inclusive objeto do enunciado de súmula 259/2010 desta Corte: “Nas contratações de obras e serviços de engenharia, a definição do critério de aceitabilidade dos preços unitários e global, com fixação de preços máximos para ambos, é obrigação e não faculdade do gestor."</w:t>
      </w:r>
    </w:p>
    <w:p w:rsidR="0087471B" w:rsidRDefault="0087471B" w:rsidP="00281FF0">
      <w:pPr>
        <w:pStyle w:val="Corpo"/>
        <w:tabs>
          <w:tab w:val="clear" w:pos="2268"/>
        </w:tabs>
        <w:spacing w:before="0" w:after="120"/>
        <w:ind w:firstLine="709"/>
        <w:rPr>
          <w:szCs w:val="24"/>
        </w:rPr>
      </w:pPr>
      <w:r w:rsidRPr="005F75EB">
        <w:rPr>
          <w:szCs w:val="24"/>
          <w:highlight w:val="yellow"/>
        </w:rPr>
        <w:t>Contudo, se considerarmos que o objetivo maior da norma é garantir a economicidade das contratações efetuadas com recursos públicos, entendo ser legítima a avença se globalmente os preços são compatíveis com os de referência. Essa, aliás, tem sido a jurisprudência desta Corte, quando, nessas situações de preços globais compatíveis, ao se constatar preços unitários superiores aos de referência, aceitam-se os termos pactuados e estabelecem-se condições para a realização de aditivos de forma a evitar o já mencionado ‘jogo de planilha’ (</w:t>
      </w:r>
      <w:r w:rsidRPr="005F75EB">
        <w:rPr>
          <w:b/>
          <w:szCs w:val="24"/>
          <w:highlight w:val="yellow"/>
        </w:rPr>
        <w:t xml:space="preserve">v.g. </w:t>
      </w:r>
      <w:r w:rsidRPr="005F75EB">
        <w:rPr>
          <w:szCs w:val="24"/>
          <w:highlight w:val="yellow"/>
        </w:rPr>
        <w:t>Acórdãos Plenários 1693/2009, 2466/2009 e 1515/2010).</w:t>
      </w:r>
    </w:p>
    <w:p w:rsidR="0087471B" w:rsidRPr="00A3691C" w:rsidRDefault="0087471B" w:rsidP="00281FF0">
      <w:pPr>
        <w:pStyle w:val="Corpo"/>
        <w:tabs>
          <w:tab w:val="clear" w:pos="2268"/>
        </w:tabs>
        <w:spacing w:before="0" w:after="120"/>
        <w:ind w:firstLine="709"/>
        <w:rPr>
          <w:szCs w:val="24"/>
        </w:rPr>
      </w:pPr>
      <w:r w:rsidRPr="00A3691C">
        <w:rPr>
          <w:szCs w:val="24"/>
        </w:rPr>
        <w:t>Tanto é assim que com o advento da Lei 12.309/2010 (LDO/2011) esse entendimento restou normatizado:</w:t>
      </w:r>
    </w:p>
    <w:p w:rsidR="0087471B" w:rsidRPr="00A3691C" w:rsidRDefault="0087471B" w:rsidP="00281FF0">
      <w:pPr>
        <w:pStyle w:val="Corpo"/>
        <w:tabs>
          <w:tab w:val="clear" w:pos="2268"/>
        </w:tabs>
        <w:spacing w:before="0" w:after="120"/>
        <w:ind w:firstLine="709"/>
        <w:rPr>
          <w:szCs w:val="24"/>
        </w:rPr>
      </w:pPr>
      <w:r w:rsidRPr="00A3691C">
        <w:rPr>
          <w:szCs w:val="24"/>
        </w:rPr>
        <w:t>“Art. 127. O custo global de obras e serviços de engenharia contratados e executados com recursos dos orçamentos da União será obtido a partir de composições de custos unitários, previstas no projeto, menores ou iguais à mediana de seus correspondentes (...) no caso de obras e serviços rodoviários, à tabela do Sistema de Custos de Obras Rodoviárias - SICRO, excetuados os itens caracterizados como montagem industrial ou que não possam ser considerados como de construção civil.</w:t>
      </w:r>
    </w:p>
    <w:p w:rsidR="0087471B" w:rsidRPr="00A3691C" w:rsidRDefault="0087471B" w:rsidP="00281FF0">
      <w:pPr>
        <w:pStyle w:val="Corpo"/>
        <w:tabs>
          <w:tab w:val="clear" w:pos="2268"/>
        </w:tabs>
        <w:spacing w:before="0" w:after="120"/>
        <w:ind w:firstLine="709"/>
        <w:rPr>
          <w:szCs w:val="24"/>
        </w:rPr>
      </w:pPr>
      <w:r w:rsidRPr="00A3691C">
        <w:rPr>
          <w:szCs w:val="24"/>
        </w:rPr>
        <w:t>(...)</w:t>
      </w:r>
    </w:p>
    <w:p w:rsidR="0087471B" w:rsidRPr="00A3691C" w:rsidRDefault="0087471B" w:rsidP="00281FF0">
      <w:pPr>
        <w:pStyle w:val="Corpo"/>
        <w:tabs>
          <w:tab w:val="clear" w:pos="2268"/>
        </w:tabs>
        <w:spacing w:before="0" w:after="120"/>
        <w:ind w:firstLine="709"/>
        <w:rPr>
          <w:szCs w:val="24"/>
        </w:rPr>
      </w:pPr>
      <w:r w:rsidRPr="00A3691C">
        <w:rPr>
          <w:szCs w:val="24"/>
        </w:rPr>
        <w:t xml:space="preserve">§ 6º No caso de adoção do regime de </w:t>
      </w:r>
      <w:r w:rsidRPr="00A3691C">
        <w:rPr>
          <w:b/>
          <w:szCs w:val="24"/>
        </w:rPr>
        <w:t>empreitada por preço global</w:t>
      </w:r>
      <w:r w:rsidRPr="00A3691C">
        <w:rPr>
          <w:szCs w:val="24"/>
        </w:rPr>
        <w:t xml:space="preserve">, previsto no </w:t>
      </w:r>
      <w:hyperlink r:id="rId8" w:history="1">
        <w:r w:rsidRPr="00A3691C">
          <w:rPr>
            <w:bCs/>
            <w:szCs w:val="24"/>
          </w:rPr>
          <w:t xml:space="preserve">art. 6º, inciso VIII, alínea "a", da Lei nº 8.666, de 1993, </w:t>
        </w:r>
      </w:hyperlink>
      <w:r w:rsidRPr="00A3691C">
        <w:rPr>
          <w:szCs w:val="24"/>
        </w:rPr>
        <w:t>devem ser observadas as seguintes disposições:</w:t>
      </w:r>
    </w:p>
    <w:p w:rsidR="0087471B" w:rsidRPr="00A3691C" w:rsidRDefault="0087471B" w:rsidP="00281FF0">
      <w:pPr>
        <w:pStyle w:val="Corpo"/>
        <w:tabs>
          <w:tab w:val="clear" w:pos="2268"/>
        </w:tabs>
        <w:spacing w:before="0" w:after="120"/>
        <w:ind w:firstLine="709"/>
        <w:rPr>
          <w:szCs w:val="24"/>
        </w:rPr>
      </w:pPr>
      <w:r w:rsidRPr="00A3691C">
        <w:rPr>
          <w:szCs w:val="24"/>
        </w:rPr>
        <w:t xml:space="preserve">I - na formação do preço que constará </w:t>
      </w:r>
      <w:r w:rsidRPr="00A3691C">
        <w:rPr>
          <w:b/>
          <w:szCs w:val="24"/>
        </w:rPr>
        <w:t xml:space="preserve">das propostas dos licitantes poderão ser utilizados custos unitários diferentes daqueles fixados no </w:t>
      </w:r>
      <w:r w:rsidRPr="00A3691C">
        <w:rPr>
          <w:b/>
          <w:i/>
          <w:szCs w:val="24"/>
        </w:rPr>
        <w:t>caput</w:t>
      </w:r>
      <w:r w:rsidRPr="00A3691C">
        <w:rPr>
          <w:b/>
          <w:szCs w:val="24"/>
        </w:rPr>
        <w:t xml:space="preserve"> deste artigo</w:t>
      </w:r>
      <w:r w:rsidRPr="00A3691C">
        <w:rPr>
          <w:szCs w:val="24"/>
        </w:rPr>
        <w:t xml:space="preserve">, desde que </w:t>
      </w:r>
      <w:r w:rsidRPr="00A3691C">
        <w:rPr>
          <w:b/>
          <w:szCs w:val="24"/>
        </w:rPr>
        <w:t>o preço global orçado e o de cada uma das etapas</w:t>
      </w:r>
      <w:r w:rsidRPr="00A3691C">
        <w:rPr>
          <w:szCs w:val="24"/>
        </w:rPr>
        <w:t xml:space="preserve"> previstas no cronograma físico-financeiro do contrato, observado o § 7º desse artigo, fique </w:t>
      </w:r>
      <w:r w:rsidRPr="00A3691C">
        <w:rPr>
          <w:b/>
          <w:szCs w:val="24"/>
        </w:rPr>
        <w:t>igual ou abaixo do valor calculado a partir do sistema de referência</w:t>
      </w:r>
      <w:r w:rsidRPr="00A3691C">
        <w:rPr>
          <w:szCs w:val="24"/>
        </w:rPr>
        <w:t xml:space="preserve"> utilizado, assegurado ao controle interno e externo o acesso irrestrito a essas informações para fins de verificação da observância deste inciso;” (grifei) </w:t>
      </w:r>
    </w:p>
    <w:p w:rsidR="0087471B" w:rsidRPr="00A3691C" w:rsidRDefault="0087471B" w:rsidP="00281FF0">
      <w:pPr>
        <w:pStyle w:val="Corpo"/>
        <w:tabs>
          <w:tab w:val="clear" w:pos="2268"/>
        </w:tabs>
        <w:spacing w:before="0" w:after="120"/>
        <w:ind w:firstLine="709"/>
        <w:rPr>
          <w:szCs w:val="24"/>
        </w:rPr>
      </w:pPr>
      <w:r w:rsidRPr="00A3691C">
        <w:rPr>
          <w:szCs w:val="24"/>
        </w:rPr>
        <w:t>Desta feita, con</w:t>
      </w:r>
      <w:r>
        <w:rPr>
          <w:szCs w:val="24"/>
        </w:rPr>
        <w:t>s</w:t>
      </w:r>
      <w:r w:rsidRPr="00A3691C">
        <w:rPr>
          <w:szCs w:val="24"/>
        </w:rPr>
        <w:t xml:space="preserve">iderando que os preços </w:t>
      </w:r>
      <w:r>
        <w:rPr>
          <w:szCs w:val="24"/>
        </w:rPr>
        <w:t xml:space="preserve">constantes dos aditivos contratuais eram </w:t>
      </w:r>
      <w:r w:rsidRPr="00A3691C">
        <w:rPr>
          <w:szCs w:val="24"/>
        </w:rPr>
        <w:t>inferiores àqueles obtidos dos valores oficiais de referência</w:t>
      </w:r>
      <w:r>
        <w:rPr>
          <w:szCs w:val="24"/>
        </w:rPr>
        <w:t xml:space="preserve"> e que esses preços contribuíram para melhorar a situação relativa do preço global contratado em relação aos valores oficiais, </w:t>
      </w:r>
      <w:r w:rsidRPr="00A3691C">
        <w:rPr>
          <w:szCs w:val="24"/>
        </w:rPr>
        <w:t>entendo que a falha pode ser considerada elidida.</w:t>
      </w:r>
    </w:p>
    <w:p w:rsidR="0087471B" w:rsidRPr="00A3691C" w:rsidRDefault="0087471B" w:rsidP="00281FF0">
      <w:pPr>
        <w:pStyle w:val="Corpo"/>
        <w:tabs>
          <w:tab w:val="clear" w:pos="2268"/>
        </w:tabs>
        <w:spacing w:before="0" w:after="120"/>
        <w:ind w:firstLine="0"/>
        <w:jc w:val="center"/>
        <w:rPr>
          <w:szCs w:val="24"/>
        </w:rPr>
      </w:pPr>
      <w:r w:rsidRPr="00A3691C">
        <w:rPr>
          <w:szCs w:val="24"/>
        </w:rPr>
        <w:t>III</w:t>
      </w:r>
    </w:p>
    <w:p w:rsidR="0087471B" w:rsidRPr="00A3691C" w:rsidRDefault="0087471B" w:rsidP="00281FF0">
      <w:pPr>
        <w:pStyle w:val="TCU-SemRecuo"/>
        <w:spacing w:after="120"/>
        <w:ind w:firstLine="709"/>
        <w:rPr>
          <w:szCs w:val="24"/>
        </w:rPr>
      </w:pPr>
      <w:r w:rsidRPr="00A3691C">
        <w:rPr>
          <w:szCs w:val="24"/>
        </w:rPr>
        <w:t xml:space="preserve">A segunda ocorrência refere-se a alterações contratuais superiores aos limites legais </w:t>
      </w:r>
      <w:r>
        <w:rPr>
          <w:szCs w:val="24"/>
        </w:rPr>
        <w:t xml:space="preserve">previstos </w:t>
      </w:r>
      <w:r w:rsidRPr="00A3691C">
        <w:rPr>
          <w:szCs w:val="24"/>
        </w:rPr>
        <w:t xml:space="preserve">no </w:t>
      </w:r>
      <w:r>
        <w:rPr>
          <w:szCs w:val="24"/>
        </w:rPr>
        <w:t xml:space="preserve">§ 2º do </w:t>
      </w:r>
      <w:r w:rsidRPr="00A3691C">
        <w:rPr>
          <w:szCs w:val="24"/>
        </w:rPr>
        <w:t>art. 65, § 1º, da Lei 8.666/93.</w:t>
      </w:r>
      <w:r>
        <w:rPr>
          <w:szCs w:val="24"/>
        </w:rPr>
        <w:t xml:space="preserve"> Essas alterações, registro, abrangeram os novos serviços tratados no tópico anterior.</w:t>
      </w:r>
    </w:p>
    <w:p w:rsidR="0087471B" w:rsidRPr="00A3691C" w:rsidRDefault="0087471B" w:rsidP="00281FF0">
      <w:pPr>
        <w:pStyle w:val="TCU-SemRecuo"/>
        <w:spacing w:after="120"/>
        <w:ind w:firstLine="709"/>
        <w:rPr>
          <w:szCs w:val="24"/>
        </w:rPr>
      </w:pPr>
      <w:r w:rsidRPr="00A3691C">
        <w:rPr>
          <w:szCs w:val="24"/>
        </w:rPr>
        <w:t xml:space="preserve">O contrato no valor original de R$ 16.166.879,37 sofreu supressões de R$ 6.027.029,67 (37,3%) e acréscimos de R$ 5.352.024,87 (33,1%). Desta feita, tanto as supressões quanto os acréscimos ocorreram em desacordo com o </w:t>
      </w:r>
      <w:r>
        <w:rPr>
          <w:szCs w:val="24"/>
        </w:rPr>
        <w:t>referido dispositivo legal</w:t>
      </w:r>
      <w:r w:rsidRPr="00A3691C">
        <w:rPr>
          <w:szCs w:val="24"/>
        </w:rPr>
        <w:t xml:space="preserve">, o qual limita em 25% essas alterações contratuais. </w:t>
      </w:r>
      <w:r>
        <w:rPr>
          <w:szCs w:val="24"/>
        </w:rPr>
        <w:t>Entretanto, o gestor foi apenado somente pelos acréscimos.</w:t>
      </w:r>
    </w:p>
    <w:p w:rsidR="0087471B" w:rsidRPr="00A3691C" w:rsidRDefault="0087471B" w:rsidP="00281FF0">
      <w:pPr>
        <w:pStyle w:val="TCU-SemRecuo"/>
        <w:spacing w:after="120"/>
        <w:ind w:firstLine="709"/>
        <w:rPr>
          <w:szCs w:val="24"/>
        </w:rPr>
      </w:pPr>
      <w:r w:rsidRPr="00A3691C">
        <w:rPr>
          <w:szCs w:val="24"/>
        </w:rPr>
        <w:t xml:space="preserve">A primeira controvérsia </w:t>
      </w:r>
      <w:r>
        <w:rPr>
          <w:szCs w:val="24"/>
        </w:rPr>
        <w:t>surgida</w:t>
      </w:r>
      <w:r w:rsidRPr="00A3691C">
        <w:rPr>
          <w:szCs w:val="24"/>
        </w:rPr>
        <w:t xml:space="preserve"> diz respeito à base de cálculo para se averiguar o referido limite legal de 25%</w:t>
      </w:r>
      <w:r>
        <w:rPr>
          <w:szCs w:val="24"/>
        </w:rPr>
        <w:t xml:space="preserve"> para os acréscimos contratuais</w:t>
      </w:r>
      <w:r w:rsidRPr="00A3691C">
        <w:rPr>
          <w:szCs w:val="24"/>
        </w:rPr>
        <w:t>.</w:t>
      </w:r>
    </w:p>
    <w:p w:rsidR="0087471B" w:rsidRPr="00A3691C" w:rsidRDefault="0087471B" w:rsidP="00281FF0">
      <w:pPr>
        <w:pStyle w:val="TCU-SemRecuo"/>
        <w:spacing w:after="120"/>
        <w:ind w:firstLine="709"/>
        <w:rPr>
          <w:szCs w:val="24"/>
        </w:rPr>
      </w:pPr>
      <w:r w:rsidRPr="00A3691C">
        <w:rPr>
          <w:szCs w:val="24"/>
        </w:rPr>
        <w:t xml:space="preserve">O acórdão impugnado adotou o entendimento consubstanciado no Acórdão 2206/2006-Plenário, segundo o </w:t>
      </w:r>
      <w:r>
        <w:rPr>
          <w:szCs w:val="24"/>
        </w:rPr>
        <w:t xml:space="preserve">qual o </w:t>
      </w:r>
      <w:r w:rsidRPr="00A3691C">
        <w:rPr>
          <w:szCs w:val="24"/>
        </w:rPr>
        <w:t>limite deve ser calculado “sobre o valor inicial atualizado das obras, serviços e compras objetivados, livre das supressões de itens neles previstos”. Assim, os valores aditivados (R$ 5.352.024,31) equivaleriam a 52,8% do valor cont</w:t>
      </w:r>
      <w:r>
        <w:rPr>
          <w:szCs w:val="24"/>
        </w:rPr>
        <w:t>r</w:t>
      </w:r>
      <w:r w:rsidRPr="00A3691C">
        <w:rPr>
          <w:szCs w:val="24"/>
        </w:rPr>
        <w:t>atado corrigido (valor inicial menos as supressões), o que extrapolaria em muito o permissivo legal de 25%.</w:t>
      </w:r>
    </w:p>
    <w:p w:rsidR="0087471B" w:rsidRPr="00A3691C" w:rsidRDefault="0087471B" w:rsidP="00281FF0">
      <w:pPr>
        <w:pStyle w:val="TCU-SemRecuo"/>
        <w:spacing w:after="120"/>
        <w:ind w:firstLine="709"/>
        <w:rPr>
          <w:szCs w:val="24"/>
        </w:rPr>
      </w:pPr>
      <w:r w:rsidRPr="00A3691C">
        <w:rPr>
          <w:szCs w:val="24"/>
        </w:rPr>
        <w:t>Entretanto, na linha do defendido pela Se</w:t>
      </w:r>
      <w:r>
        <w:rPr>
          <w:szCs w:val="24"/>
        </w:rPr>
        <w:t>rur</w:t>
      </w:r>
      <w:r>
        <w:rPr>
          <w:b/>
          <w:szCs w:val="24"/>
        </w:rPr>
        <w:t xml:space="preserve"> </w:t>
      </w:r>
      <w:r>
        <w:rPr>
          <w:szCs w:val="24"/>
        </w:rPr>
        <w:t>e consoante entendimento mais recente desta Corte (Acórdão 1200/2010-Plenário)</w:t>
      </w:r>
      <w:r w:rsidRPr="00A3691C">
        <w:rPr>
          <w:szCs w:val="24"/>
        </w:rPr>
        <w:t xml:space="preserve">, entendo que a norma foi explícita ao dispor que o limite de 25% se refere ao valor inicial atualizado do contrato, não fazendo referência a correção desse valor em razão de eventuais supressões de serviços contratados. </w:t>
      </w:r>
      <w:r>
        <w:rPr>
          <w:szCs w:val="24"/>
        </w:rPr>
        <w:t xml:space="preserve">Assim, os acréscimos contratuais </w:t>
      </w:r>
      <w:r w:rsidRPr="00A3691C">
        <w:rPr>
          <w:szCs w:val="24"/>
        </w:rPr>
        <w:t xml:space="preserve">equivaleram a 31,1% do valor contratado, </w:t>
      </w:r>
      <w:r>
        <w:rPr>
          <w:szCs w:val="24"/>
        </w:rPr>
        <w:t xml:space="preserve">configurando ainda </w:t>
      </w:r>
      <w:r w:rsidRPr="00A3691C">
        <w:rPr>
          <w:szCs w:val="24"/>
        </w:rPr>
        <w:t>infração ao § 2º do art. 65 da Lei 8.666/93.</w:t>
      </w:r>
    </w:p>
    <w:p w:rsidR="0087471B" w:rsidRPr="00A3691C" w:rsidRDefault="0087471B" w:rsidP="00281FF0">
      <w:pPr>
        <w:pStyle w:val="TCU-SemRecuo"/>
        <w:spacing w:after="120"/>
        <w:ind w:firstLine="709"/>
        <w:rPr>
          <w:szCs w:val="24"/>
        </w:rPr>
      </w:pPr>
      <w:r w:rsidRPr="00A3691C">
        <w:rPr>
          <w:szCs w:val="24"/>
        </w:rPr>
        <w:t xml:space="preserve">De se ver contudo que, em sede de consulta, mediante a Decisão </w:t>
      </w:r>
      <w:bookmarkStart w:id="2" w:name="Hit1"/>
      <w:r w:rsidRPr="00A3691C">
        <w:rPr>
          <w:szCs w:val="24"/>
        </w:rPr>
        <w:t>215/1999 – Plenário</w:t>
      </w:r>
      <w:bookmarkEnd w:id="2"/>
      <w:r w:rsidRPr="00A3691C">
        <w:rPr>
          <w:szCs w:val="24"/>
        </w:rPr>
        <w:t>, esta Corte firmou o entendimento de que em determinadas hipóteses excepcionais seria possível ultrapassar os limites aludidos anteriormente, “observados os princípios da finalidade, da razoabilidade e da proporcionalidade”.</w:t>
      </w:r>
    </w:p>
    <w:p w:rsidR="0087471B" w:rsidRPr="00A3691C" w:rsidRDefault="0087471B" w:rsidP="00281FF0">
      <w:pPr>
        <w:pStyle w:val="TCU-SemRecuo"/>
        <w:spacing w:after="120"/>
        <w:ind w:firstLine="709"/>
        <w:rPr>
          <w:szCs w:val="24"/>
        </w:rPr>
      </w:pPr>
      <w:r w:rsidRPr="00A3691C">
        <w:rPr>
          <w:szCs w:val="24"/>
        </w:rPr>
        <w:t>Ou seja, deve-se analisar o caso concreto para se averiguar se há reprovabilidade na conduta do gestor.</w:t>
      </w:r>
    </w:p>
    <w:p w:rsidR="0087471B" w:rsidRPr="00A3691C" w:rsidRDefault="0087471B" w:rsidP="00281FF0">
      <w:pPr>
        <w:pStyle w:val="TCU-SemRecuo"/>
        <w:spacing w:after="120"/>
        <w:ind w:firstLine="709"/>
        <w:rPr>
          <w:szCs w:val="24"/>
        </w:rPr>
      </w:pPr>
      <w:r w:rsidRPr="00A3691C">
        <w:rPr>
          <w:szCs w:val="24"/>
        </w:rPr>
        <w:t>De início, verifica-se não h</w:t>
      </w:r>
      <w:r>
        <w:rPr>
          <w:szCs w:val="24"/>
        </w:rPr>
        <w:t xml:space="preserve">aver </w:t>
      </w:r>
      <w:r w:rsidRPr="00A3691C">
        <w:rPr>
          <w:szCs w:val="24"/>
        </w:rPr>
        <w:t xml:space="preserve">questionamentos acerca da necessidade técnica das alterações contratuais efetuadas pelo responsável. </w:t>
      </w:r>
      <w:r>
        <w:rPr>
          <w:szCs w:val="24"/>
        </w:rPr>
        <w:t xml:space="preserve">Ademais, </w:t>
      </w:r>
      <w:r w:rsidRPr="00A3691C">
        <w:rPr>
          <w:szCs w:val="24"/>
        </w:rPr>
        <w:t xml:space="preserve">por se tratar aqui de uma obra </w:t>
      </w:r>
      <w:r>
        <w:rPr>
          <w:szCs w:val="24"/>
        </w:rPr>
        <w:t>de engenharia e pela natureza dos serviços objeto dos aditivos</w:t>
      </w:r>
      <w:r w:rsidRPr="00A3691C">
        <w:rPr>
          <w:szCs w:val="24"/>
        </w:rPr>
        <w:t xml:space="preserve">, constata-se não </w:t>
      </w:r>
      <w:r>
        <w:rPr>
          <w:szCs w:val="24"/>
        </w:rPr>
        <w:t xml:space="preserve">ter havido </w:t>
      </w:r>
      <w:r w:rsidRPr="00A3691C">
        <w:rPr>
          <w:szCs w:val="24"/>
        </w:rPr>
        <w:t xml:space="preserve">margem de discricionariedade para que os serviços objeto dessas alterações </w:t>
      </w:r>
      <w:r>
        <w:rPr>
          <w:szCs w:val="24"/>
        </w:rPr>
        <w:t>fossem</w:t>
      </w:r>
      <w:r w:rsidRPr="00A3691C">
        <w:rPr>
          <w:szCs w:val="24"/>
        </w:rPr>
        <w:t xml:space="preserve"> executados, pois há a presunção de que eles foram necessários para a conclusão do empreendimento. </w:t>
      </w:r>
    </w:p>
    <w:p w:rsidR="0087471B" w:rsidRPr="00A3691C" w:rsidRDefault="0087471B" w:rsidP="00281FF0">
      <w:pPr>
        <w:pStyle w:val="TCU-SemRecuo"/>
        <w:spacing w:after="120"/>
        <w:ind w:firstLine="709"/>
        <w:rPr>
          <w:szCs w:val="24"/>
        </w:rPr>
      </w:pPr>
      <w:r w:rsidRPr="00A3691C">
        <w:rPr>
          <w:szCs w:val="24"/>
        </w:rPr>
        <w:t>Neste ponto, registro, difere-se aqui de outras contratações efetuadas pelo poder público (</w:t>
      </w:r>
      <w:r w:rsidRPr="00A3691C">
        <w:rPr>
          <w:b/>
          <w:szCs w:val="24"/>
        </w:rPr>
        <w:t xml:space="preserve">v.g. </w:t>
      </w:r>
      <w:r w:rsidRPr="00A3691C">
        <w:rPr>
          <w:szCs w:val="24"/>
        </w:rPr>
        <w:t xml:space="preserve">aquisição de bens ou contratação da prestação de serviços), quando a alteração de quantitativos comporta certa margem de discricionariedade por parte do gestor. Isso porque, em regra, nesses casos, mesmo que se mostre </w:t>
      </w:r>
      <w:r>
        <w:rPr>
          <w:szCs w:val="24"/>
        </w:rPr>
        <w:t>conveniente</w:t>
      </w:r>
      <w:r w:rsidRPr="00A3691C">
        <w:rPr>
          <w:szCs w:val="24"/>
        </w:rPr>
        <w:t xml:space="preserve"> uma alteração contratual acima do limite legal, a ausência da extrapolação do limite não prejudicará a parte do objeto já cumprida do contrato e tampouco a sua execução futura. Nessas situações, a exigência do cumprimento dos limites previstos no § 2º do art. 65 da Lei 8.666/93 não comporta maiores exceções.</w:t>
      </w:r>
    </w:p>
    <w:p w:rsidR="0087471B" w:rsidRPr="00A3691C" w:rsidRDefault="0087471B" w:rsidP="00281FF0">
      <w:pPr>
        <w:pStyle w:val="TCU-SemRecuo"/>
        <w:spacing w:after="120"/>
        <w:ind w:firstLine="709"/>
        <w:rPr>
          <w:szCs w:val="24"/>
        </w:rPr>
      </w:pPr>
      <w:r w:rsidRPr="00A3691C">
        <w:rPr>
          <w:szCs w:val="24"/>
        </w:rPr>
        <w:t xml:space="preserve">No caso de obras </w:t>
      </w:r>
      <w:r>
        <w:rPr>
          <w:szCs w:val="24"/>
        </w:rPr>
        <w:t>de engenharia</w:t>
      </w:r>
      <w:r w:rsidRPr="00A3691C">
        <w:rPr>
          <w:szCs w:val="24"/>
        </w:rPr>
        <w:t>, entretanto, a situação é diversa. Constatada a necessidade técnica da execução adicional de serviços de concretagem, por exemplo, a sua não execução poderá comprometer o objeto como um todo</w:t>
      </w:r>
      <w:r>
        <w:rPr>
          <w:szCs w:val="24"/>
        </w:rPr>
        <w:t>,</w:t>
      </w:r>
      <w:r w:rsidRPr="00A3691C">
        <w:rPr>
          <w:szCs w:val="24"/>
        </w:rPr>
        <w:t xml:space="preserve"> acarretando a paralisação do empreendimento e o risco de deterioração dos serviços já executados.</w:t>
      </w:r>
      <w:r>
        <w:rPr>
          <w:szCs w:val="24"/>
        </w:rPr>
        <w:t xml:space="preserve"> </w:t>
      </w:r>
    </w:p>
    <w:p w:rsidR="0087471B" w:rsidRDefault="0087471B" w:rsidP="00281FF0">
      <w:pPr>
        <w:pStyle w:val="TCU-SemRecuo"/>
        <w:spacing w:after="120"/>
        <w:ind w:firstLine="709"/>
        <w:rPr>
          <w:szCs w:val="24"/>
        </w:rPr>
      </w:pPr>
      <w:r w:rsidRPr="00A3691C">
        <w:rPr>
          <w:szCs w:val="24"/>
        </w:rPr>
        <w:t xml:space="preserve">Desta feita, </w:t>
      </w:r>
      <w:r>
        <w:rPr>
          <w:szCs w:val="24"/>
        </w:rPr>
        <w:t xml:space="preserve">nessas situações, </w:t>
      </w:r>
      <w:r w:rsidRPr="00A3691C">
        <w:rPr>
          <w:szCs w:val="24"/>
        </w:rPr>
        <w:t>ao responsável pela execução contratual resta</w:t>
      </w:r>
      <w:r>
        <w:rPr>
          <w:szCs w:val="24"/>
        </w:rPr>
        <w:t xml:space="preserve">riam </w:t>
      </w:r>
      <w:r w:rsidRPr="00A3691C">
        <w:rPr>
          <w:szCs w:val="24"/>
        </w:rPr>
        <w:t xml:space="preserve">duas hipóteses. Promover novo certame licitatório ou efetuar alterações contratuais acima do limite legal de 25%. </w:t>
      </w:r>
    </w:p>
    <w:p w:rsidR="0087471B" w:rsidRPr="00A3691C" w:rsidRDefault="0087471B" w:rsidP="00281FF0">
      <w:pPr>
        <w:pStyle w:val="TCU-SemRecuo"/>
        <w:spacing w:after="120"/>
        <w:ind w:firstLine="709"/>
        <w:rPr>
          <w:szCs w:val="24"/>
        </w:rPr>
      </w:pPr>
      <w:r w:rsidRPr="00A3691C">
        <w:rPr>
          <w:szCs w:val="24"/>
        </w:rPr>
        <w:t>Acerca dessas alternativas, a Sec</w:t>
      </w:r>
      <w:r>
        <w:rPr>
          <w:szCs w:val="24"/>
        </w:rPr>
        <w:t xml:space="preserve">ex </w:t>
      </w:r>
      <w:r w:rsidRPr="00FA6FF4">
        <w:rPr>
          <w:b/>
          <w:szCs w:val="24"/>
        </w:rPr>
        <w:t>a quo</w:t>
      </w:r>
      <w:r>
        <w:rPr>
          <w:b/>
          <w:szCs w:val="24"/>
        </w:rPr>
        <w:t xml:space="preserve"> </w:t>
      </w:r>
      <w:r>
        <w:rPr>
          <w:szCs w:val="24"/>
        </w:rPr>
        <w:t>(Secob)</w:t>
      </w:r>
      <w:r w:rsidRPr="00A3691C">
        <w:rPr>
          <w:b/>
          <w:szCs w:val="24"/>
        </w:rPr>
        <w:t xml:space="preserve"> </w:t>
      </w:r>
      <w:r w:rsidRPr="00A3691C">
        <w:rPr>
          <w:szCs w:val="24"/>
        </w:rPr>
        <w:t>fez as seguintes considerações (fl. 178, v.p.):</w:t>
      </w:r>
    </w:p>
    <w:p w:rsidR="0087471B" w:rsidRPr="00A3691C" w:rsidRDefault="0087471B" w:rsidP="00281FF0">
      <w:pPr>
        <w:pStyle w:val="TCU-SemRecuo"/>
        <w:spacing w:after="120"/>
        <w:ind w:firstLine="709"/>
        <w:rPr>
          <w:szCs w:val="24"/>
        </w:rPr>
      </w:pPr>
      <w:r w:rsidRPr="00A3691C">
        <w:rPr>
          <w:szCs w:val="24"/>
        </w:rPr>
        <w:t>“Sob as nova</w:t>
      </w:r>
      <w:r>
        <w:rPr>
          <w:szCs w:val="24"/>
        </w:rPr>
        <w:t>s</w:t>
      </w:r>
      <w:r w:rsidRPr="00A3691C">
        <w:rPr>
          <w:szCs w:val="24"/>
        </w:rPr>
        <w:t xml:space="preserve"> condições, depois de ponderados os demais custos e risco de atraso no início das obras, </w:t>
      </w:r>
      <w:r w:rsidRPr="00774F04">
        <w:rPr>
          <w:b/>
          <w:szCs w:val="24"/>
        </w:rPr>
        <w:t>dificilmente uma nova licitação seria mais vantajosa</w:t>
      </w:r>
      <w:r w:rsidRPr="00A3691C">
        <w:rPr>
          <w:szCs w:val="24"/>
        </w:rPr>
        <w:t>.”</w:t>
      </w:r>
      <w:r>
        <w:rPr>
          <w:szCs w:val="24"/>
        </w:rPr>
        <w:t xml:space="preserve"> (grifei) </w:t>
      </w:r>
    </w:p>
    <w:p w:rsidR="0087471B" w:rsidRPr="00A3691C" w:rsidRDefault="0087471B" w:rsidP="00281FF0">
      <w:pPr>
        <w:pStyle w:val="TCU-SemRecuo"/>
        <w:spacing w:after="120"/>
        <w:ind w:firstLine="709"/>
        <w:rPr>
          <w:szCs w:val="24"/>
        </w:rPr>
      </w:pPr>
      <w:r>
        <w:rPr>
          <w:szCs w:val="24"/>
        </w:rPr>
        <w:t>Essas ‘</w:t>
      </w:r>
      <w:r w:rsidRPr="00A3691C">
        <w:rPr>
          <w:szCs w:val="24"/>
        </w:rPr>
        <w:t>novas condições</w:t>
      </w:r>
      <w:r>
        <w:rPr>
          <w:szCs w:val="24"/>
        </w:rPr>
        <w:t>’</w:t>
      </w:r>
      <w:r w:rsidRPr="00A3691C">
        <w:rPr>
          <w:szCs w:val="24"/>
        </w:rPr>
        <w:t xml:space="preserve"> mencionadas pela unidade técnica referem-se </w:t>
      </w:r>
      <w:r>
        <w:rPr>
          <w:szCs w:val="24"/>
        </w:rPr>
        <w:t xml:space="preserve">às já mencionadas constatações de </w:t>
      </w:r>
      <w:r w:rsidRPr="00A3691C">
        <w:rPr>
          <w:szCs w:val="24"/>
        </w:rPr>
        <w:t xml:space="preserve">que as alterações contratuais propiciaram </w:t>
      </w:r>
      <w:r>
        <w:rPr>
          <w:szCs w:val="24"/>
        </w:rPr>
        <w:t>um</w:t>
      </w:r>
      <w:r w:rsidRPr="00A3691C">
        <w:rPr>
          <w:szCs w:val="24"/>
        </w:rPr>
        <w:t xml:space="preserve">a redução de cerca de R$ 670.000,00 no valor </w:t>
      </w:r>
      <w:r>
        <w:rPr>
          <w:szCs w:val="24"/>
        </w:rPr>
        <w:t xml:space="preserve">total </w:t>
      </w:r>
      <w:r w:rsidRPr="00A3691C">
        <w:rPr>
          <w:szCs w:val="24"/>
        </w:rPr>
        <w:t>contratado</w:t>
      </w:r>
      <w:r>
        <w:rPr>
          <w:szCs w:val="24"/>
        </w:rPr>
        <w:t xml:space="preserve"> e uma significativa melhora dos preços praticados em relação àqueles do Sicro</w:t>
      </w:r>
      <w:r w:rsidRPr="00A3691C">
        <w:rPr>
          <w:szCs w:val="24"/>
        </w:rPr>
        <w:t>. (fls. 179 e 181, v.p.)</w:t>
      </w:r>
    </w:p>
    <w:p w:rsidR="0087471B" w:rsidRPr="00A3691C" w:rsidRDefault="0087471B" w:rsidP="00281FF0">
      <w:pPr>
        <w:pStyle w:val="TCU-SemRecuo"/>
        <w:spacing w:after="120"/>
        <w:ind w:firstLine="709"/>
        <w:rPr>
          <w:szCs w:val="24"/>
        </w:rPr>
      </w:pPr>
      <w:r w:rsidRPr="00A3691C">
        <w:rPr>
          <w:szCs w:val="24"/>
        </w:rPr>
        <w:t xml:space="preserve">Diante dessa quadro fático, entendo que não havia como se exigir conduta diversa do gestor, pois as alterações contratuais foram ao encontro do interesse público, reduzindo os custos da </w:t>
      </w:r>
      <w:r>
        <w:rPr>
          <w:szCs w:val="24"/>
        </w:rPr>
        <w:t xml:space="preserve">obra </w:t>
      </w:r>
      <w:r w:rsidRPr="00A3691C">
        <w:rPr>
          <w:szCs w:val="24"/>
        </w:rPr>
        <w:t xml:space="preserve">e permitindo a </w:t>
      </w:r>
      <w:r>
        <w:rPr>
          <w:szCs w:val="24"/>
        </w:rPr>
        <w:t xml:space="preserve">sua </w:t>
      </w:r>
      <w:r w:rsidRPr="00A3691C">
        <w:rPr>
          <w:szCs w:val="24"/>
        </w:rPr>
        <w:t>conclusão.</w:t>
      </w:r>
    </w:p>
    <w:p w:rsidR="0087471B" w:rsidRPr="00A3691C" w:rsidRDefault="0087471B" w:rsidP="00281FF0">
      <w:pPr>
        <w:pStyle w:val="TCU-SemRecuo"/>
        <w:spacing w:after="120"/>
        <w:ind w:firstLine="709"/>
        <w:rPr>
          <w:szCs w:val="24"/>
        </w:rPr>
      </w:pPr>
      <w:r w:rsidRPr="00A3691C">
        <w:rPr>
          <w:szCs w:val="24"/>
        </w:rPr>
        <w:t xml:space="preserve">Em situações da espécie, não é demais ressaltar, a extrapolação do limite previsto no § 2º do art. 65 da Lei 8.666/93 é mais uma consequência de uma conduta ilícita </w:t>
      </w:r>
      <w:r>
        <w:rPr>
          <w:szCs w:val="24"/>
        </w:rPr>
        <w:t xml:space="preserve">anterior </w:t>
      </w:r>
      <w:r w:rsidRPr="00A3691C">
        <w:rPr>
          <w:szCs w:val="24"/>
        </w:rPr>
        <w:t>do que uma falha de per si. Isso porque a necessidade de extrapolação do limite legal, em princípio, decorre de imprecisões no projeto básico as quais</w:t>
      </w:r>
      <w:r>
        <w:rPr>
          <w:szCs w:val="24"/>
        </w:rPr>
        <w:t>, para sua correção,</w:t>
      </w:r>
      <w:r w:rsidRPr="00A3691C">
        <w:rPr>
          <w:szCs w:val="24"/>
        </w:rPr>
        <w:t xml:space="preserve"> demandam significativas alterações no objeto licitado. </w:t>
      </w:r>
    </w:p>
    <w:p w:rsidR="0087471B" w:rsidRPr="00A3691C" w:rsidRDefault="0087471B" w:rsidP="00281FF0">
      <w:pPr>
        <w:pStyle w:val="TCU-SemRecuo"/>
        <w:spacing w:after="120"/>
        <w:ind w:firstLine="709"/>
        <w:rPr>
          <w:szCs w:val="24"/>
        </w:rPr>
      </w:pPr>
      <w:r w:rsidRPr="00A3691C">
        <w:rPr>
          <w:szCs w:val="24"/>
        </w:rPr>
        <w:t>Desta feita, a</w:t>
      </w:r>
      <w:r>
        <w:rPr>
          <w:szCs w:val="24"/>
        </w:rPr>
        <w:t>s</w:t>
      </w:r>
      <w:r w:rsidRPr="00A3691C">
        <w:rPr>
          <w:szCs w:val="24"/>
        </w:rPr>
        <w:t xml:space="preserve"> conduta</w:t>
      </w:r>
      <w:r>
        <w:rPr>
          <w:szCs w:val="24"/>
        </w:rPr>
        <w:t>s</w:t>
      </w:r>
      <w:r w:rsidRPr="00A3691C">
        <w:rPr>
          <w:szCs w:val="24"/>
        </w:rPr>
        <w:t xml:space="preserve"> censuráve</w:t>
      </w:r>
      <w:r>
        <w:rPr>
          <w:szCs w:val="24"/>
        </w:rPr>
        <w:t>is</w:t>
      </w:r>
      <w:r w:rsidRPr="00A3691C">
        <w:rPr>
          <w:szCs w:val="24"/>
        </w:rPr>
        <w:t xml:space="preserve"> seria</w:t>
      </w:r>
      <w:r>
        <w:rPr>
          <w:szCs w:val="24"/>
        </w:rPr>
        <w:t>m</w:t>
      </w:r>
      <w:r w:rsidRPr="00A3691C">
        <w:rPr>
          <w:szCs w:val="24"/>
        </w:rPr>
        <w:t xml:space="preserve"> daquele</w:t>
      </w:r>
      <w:r>
        <w:rPr>
          <w:szCs w:val="24"/>
        </w:rPr>
        <w:t>s</w:t>
      </w:r>
      <w:r w:rsidRPr="00A3691C">
        <w:rPr>
          <w:szCs w:val="24"/>
        </w:rPr>
        <w:t xml:space="preserve"> que elabor</w:t>
      </w:r>
      <w:r>
        <w:rPr>
          <w:szCs w:val="24"/>
        </w:rPr>
        <w:t>aram</w:t>
      </w:r>
      <w:r w:rsidRPr="00A3691C">
        <w:rPr>
          <w:szCs w:val="24"/>
        </w:rPr>
        <w:t xml:space="preserve"> e/ou a</w:t>
      </w:r>
      <w:r>
        <w:rPr>
          <w:szCs w:val="24"/>
        </w:rPr>
        <w:t>provaram</w:t>
      </w:r>
      <w:r w:rsidRPr="00A3691C">
        <w:rPr>
          <w:szCs w:val="24"/>
        </w:rPr>
        <w:t xml:space="preserve"> tal projeto básico deficiente e que deu causa a necessidades de alterações contratuais em desacordo com a lei. A conduta consistente em efetuar as alterações seria mera consequência dessa irregularidade, podendo ocorrer de não ser exigível conduta diversa </w:t>
      </w:r>
      <w:r>
        <w:rPr>
          <w:szCs w:val="24"/>
        </w:rPr>
        <w:t xml:space="preserve">desse responsável </w:t>
      </w:r>
      <w:r w:rsidRPr="00A3691C">
        <w:rPr>
          <w:szCs w:val="24"/>
        </w:rPr>
        <w:t>quando da execução contratual.</w:t>
      </w:r>
    </w:p>
    <w:p w:rsidR="0087471B" w:rsidRPr="00A3691C" w:rsidRDefault="0087471B" w:rsidP="00281FF0">
      <w:pPr>
        <w:pStyle w:val="TCU-SemRecuo"/>
        <w:spacing w:after="120"/>
        <w:ind w:firstLine="709"/>
        <w:rPr>
          <w:szCs w:val="24"/>
        </w:rPr>
      </w:pPr>
      <w:r w:rsidRPr="00A3691C">
        <w:rPr>
          <w:szCs w:val="24"/>
        </w:rPr>
        <w:t xml:space="preserve">Entretanto, a análise da condução do processo licitatório e da responsabilidade pelo projeto básico é </w:t>
      </w:r>
      <w:r>
        <w:rPr>
          <w:szCs w:val="24"/>
        </w:rPr>
        <w:t xml:space="preserve">também </w:t>
      </w:r>
      <w:r w:rsidRPr="00A3691C">
        <w:rPr>
          <w:szCs w:val="24"/>
        </w:rPr>
        <w:t>matéria que extrapola o âmbito de devolutividade do presente recurso, não cabendo ser analisada nesta etapa processual.</w:t>
      </w:r>
    </w:p>
    <w:p w:rsidR="0087471B" w:rsidRPr="00A3691C" w:rsidRDefault="0087471B" w:rsidP="00281FF0">
      <w:pPr>
        <w:pStyle w:val="TCU-SemRecuo"/>
        <w:spacing w:after="120"/>
        <w:ind w:firstLine="709"/>
        <w:rPr>
          <w:szCs w:val="24"/>
        </w:rPr>
      </w:pPr>
      <w:r w:rsidRPr="00A3691C">
        <w:rPr>
          <w:szCs w:val="24"/>
        </w:rPr>
        <w:t>Diante do exposto, Voto por que o Tribunal adote o Acórdão que ora submeto à deliberação deste Colegiado.</w:t>
      </w:r>
    </w:p>
    <w:p w:rsidR="0087471B" w:rsidRPr="00A3691C" w:rsidRDefault="0087471B" w:rsidP="008D43AA">
      <w:pPr>
        <w:pStyle w:val="TCU-Epgrafe"/>
        <w:ind w:left="0"/>
        <w:jc w:val="center"/>
        <w:rPr>
          <w:szCs w:val="24"/>
        </w:rPr>
      </w:pPr>
    </w:p>
    <w:p w:rsidR="0087471B" w:rsidRPr="00A3691C" w:rsidRDefault="0087471B" w:rsidP="00281FF0">
      <w:pPr>
        <w:pStyle w:val="Corpodetexto"/>
        <w:ind w:firstLine="1134"/>
        <w:rPr>
          <w:szCs w:val="24"/>
        </w:rPr>
      </w:pPr>
      <w:r w:rsidRPr="00A3691C">
        <w:rPr>
          <w:szCs w:val="24"/>
        </w:rPr>
        <w:t>TCU, Sala das Sessões Ministro Luciano Brandão Alves de Souza, em 3 de novembro de 2010.</w:t>
      </w:r>
    </w:p>
    <w:p w:rsidR="0087471B" w:rsidRPr="0039071C" w:rsidRDefault="0087471B" w:rsidP="00281FF0">
      <w:pPr>
        <w:pStyle w:val="Corpodetexto"/>
        <w:jc w:val="center"/>
      </w:pPr>
    </w:p>
    <w:p w:rsidR="0087471B" w:rsidRPr="0039071C" w:rsidRDefault="0087471B" w:rsidP="00281FF0">
      <w:pPr>
        <w:pStyle w:val="Corpodetexto"/>
        <w:jc w:val="center"/>
      </w:pPr>
    </w:p>
    <w:p w:rsidR="0087471B" w:rsidRPr="0039071C" w:rsidRDefault="0087471B" w:rsidP="00281FF0">
      <w:pPr>
        <w:pStyle w:val="Corpodetexto"/>
        <w:jc w:val="center"/>
      </w:pPr>
    </w:p>
    <w:p w:rsidR="0087471B" w:rsidRPr="0039071C" w:rsidRDefault="0087471B" w:rsidP="00281FF0">
      <w:pPr>
        <w:pStyle w:val="Corpodetexto"/>
        <w:jc w:val="center"/>
      </w:pPr>
      <w:r w:rsidRPr="0039071C">
        <w:t xml:space="preserve">BENJAMIN ZYMLER </w:t>
      </w:r>
    </w:p>
    <w:p w:rsidR="0087471B" w:rsidRPr="0039071C" w:rsidRDefault="0087471B" w:rsidP="00281FF0">
      <w:pPr>
        <w:pStyle w:val="Corpodetexto"/>
        <w:jc w:val="center"/>
      </w:pPr>
      <w:r w:rsidRPr="0039071C">
        <w:t>Relator</w:t>
      </w:r>
    </w:p>
    <w:p w:rsidR="0087471B" w:rsidRDefault="0087471B" w:rsidP="007D5A60">
      <w:pPr>
        <w:pStyle w:val="TCU-SemRecuo"/>
        <w:spacing w:after="120"/>
        <w:ind w:firstLine="709"/>
      </w:pPr>
    </w:p>
    <w:p w:rsidR="0087471B" w:rsidRPr="00DE0343" w:rsidRDefault="0087471B" w:rsidP="00281FF0">
      <w:pPr>
        <w:widowControl w:val="0"/>
        <w:tabs>
          <w:tab w:val="left" w:pos="-142"/>
        </w:tabs>
        <w:autoSpaceDE w:val="0"/>
        <w:autoSpaceDN w:val="0"/>
        <w:ind w:left="360"/>
        <w:rPr>
          <w:szCs w:val="24"/>
        </w:rPr>
      </w:pPr>
    </w:p>
    <w:p w:rsidR="0087471B" w:rsidRPr="00DE0343" w:rsidRDefault="0087471B" w:rsidP="00281FF0">
      <w:pPr>
        <w:widowControl w:val="0"/>
        <w:tabs>
          <w:tab w:val="left" w:pos="-142"/>
        </w:tabs>
        <w:autoSpaceDE w:val="0"/>
        <w:autoSpaceDN w:val="0"/>
        <w:ind w:left="360"/>
        <w:jc w:val="center"/>
        <w:rPr>
          <w:szCs w:val="24"/>
        </w:rPr>
      </w:pPr>
      <w:r w:rsidRPr="00DE0343">
        <w:rPr>
          <w:szCs w:val="24"/>
        </w:rPr>
        <w:t>ACÓRDÃO Nº 2931/2010</w:t>
      </w:r>
      <w:r>
        <w:rPr>
          <w:szCs w:val="24"/>
        </w:rPr>
        <w:t xml:space="preserve"> </w:t>
      </w:r>
      <w:r w:rsidRPr="00DE0343">
        <w:rPr>
          <w:szCs w:val="24"/>
        </w:rPr>
        <w:t>–</w:t>
      </w:r>
      <w:r>
        <w:rPr>
          <w:szCs w:val="24"/>
        </w:rPr>
        <w:t xml:space="preserve"> </w:t>
      </w:r>
      <w:r w:rsidRPr="00DE0343">
        <w:rPr>
          <w:szCs w:val="24"/>
        </w:rPr>
        <w:t>TCU</w:t>
      </w:r>
      <w:r>
        <w:rPr>
          <w:szCs w:val="24"/>
        </w:rPr>
        <w:t xml:space="preserve"> </w:t>
      </w:r>
      <w:r w:rsidRPr="00DE0343">
        <w:rPr>
          <w:szCs w:val="24"/>
        </w:rPr>
        <w:t>–</w:t>
      </w:r>
      <w:r>
        <w:rPr>
          <w:szCs w:val="24"/>
        </w:rPr>
        <w:t xml:space="preserve"> </w:t>
      </w:r>
      <w:r w:rsidRPr="00DE0343">
        <w:rPr>
          <w:szCs w:val="24"/>
        </w:rPr>
        <w:t>Plenário</w:t>
      </w:r>
    </w:p>
    <w:p w:rsidR="0087471B" w:rsidRPr="00DE0343" w:rsidRDefault="0087471B" w:rsidP="00281FF0">
      <w:pPr>
        <w:pStyle w:val="TCU-Epgrafe"/>
        <w:ind w:left="0"/>
        <w:jc w:val="center"/>
        <w:rPr>
          <w:szCs w:val="24"/>
        </w:rPr>
      </w:pPr>
    </w:p>
    <w:p w:rsidR="0087471B" w:rsidRPr="00DE0343" w:rsidRDefault="0087471B" w:rsidP="00281FF0">
      <w:pPr>
        <w:widowControl w:val="0"/>
        <w:tabs>
          <w:tab w:val="left" w:pos="284"/>
        </w:tabs>
        <w:autoSpaceDE w:val="0"/>
        <w:autoSpaceDN w:val="0"/>
        <w:jc w:val="both"/>
        <w:rPr>
          <w:szCs w:val="24"/>
        </w:rPr>
      </w:pPr>
      <w:r>
        <w:rPr>
          <w:szCs w:val="24"/>
        </w:rPr>
        <w:t>1</w:t>
      </w:r>
      <w:r w:rsidRPr="00DE0343">
        <w:rPr>
          <w:szCs w:val="24"/>
        </w:rPr>
        <w:t xml:space="preserve">. Processo nº TC 015.682/2008-0. </w:t>
      </w:r>
    </w:p>
    <w:p w:rsidR="0087471B" w:rsidRPr="00DE0343" w:rsidRDefault="0087471B" w:rsidP="00281FF0">
      <w:pPr>
        <w:widowControl w:val="0"/>
        <w:tabs>
          <w:tab w:val="left" w:pos="284"/>
        </w:tabs>
        <w:autoSpaceDE w:val="0"/>
        <w:autoSpaceDN w:val="0"/>
        <w:jc w:val="both"/>
        <w:rPr>
          <w:szCs w:val="24"/>
        </w:rPr>
      </w:pPr>
      <w:r w:rsidRPr="00DE0343">
        <w:rPr>
          <w:szCs w:val="24"/>
        </w:rPr>
        <w:t xml:space="preserve">2. Grupo II – Classe </w:t>
      </w:r>
      <w:r>
        <w:rPr>
          <w:szCs w:val="24"/>
        </w:rPr>
        <w:t>I</w:t>
      </w:r>
      <w:r w:rsidRPr="00DE0343">
        <w:rPr>
          <w:szCs w:val="24"/>
        </w:rPr>
        <w:t xml:space="preserve"> – Assunto: </w:t>
      </w:r>
      <w:r>
        <w:rPr>
          <w:szCs w:val="24"/>
        </w:rPr>
        <w:t xml:space="preserve">Pedido de Reexame </w:t>
      </w:r>
    </w:p>
    <w:p w:rsidR="0087471B" w:rsidRPr="00DE0343" w:rsidRDefault="0087471B" w:rsidP="00281FF0">
      <w:pPr>
        <w:widowControl w:val="0"/>
        <w:tabs>
          <w:tab w:val="left" w:pos="284"/>
        </w:tabs>
        <w:autoSpaceDE w:val="0"/>
        <w:autoSpaceDN w:val="0"/>
        <w:jc w:val="both"/>
        <w:rPr>
          <w:szCs w:val="24"/>
        </w:rPr>
      </w:pPr>
      <w:r w:rsidRPr="00DE0343">
        <w:rPr>
          <w:szCs w:val="24"/>
        </w:rPr>
        <w:t>3. Interessados/Responsáveis:</w:t>
      </w:r>
    </w:p>
    <w:p w:rsidR="0087471B" w:rsidRPr="00DE0343" w:rsidRDefault="0087471B" w:rsidP="00281FF0">
      <w:pPr>
        <w:widowControl w:val="0"/>
        <w:tabs>
          <w:tab w:val="left" w:pos="284"/>
        </w:tabs>
        <w:autoSpaceDE w:val="0"/>
        <w:autoSpaceDN w:val="0"/>
        <w:jc w:val="both"/>
        <w:rPr>
          <w:szCs w:val="24"/>
        </w:rPr>
      </w:pPr>
      <w:r w:rsidRPr="00DE0343">
        <w:rPr>
          <w:szCs w:val="24"/>
        </w:rPr>
        <w:t xml:space="preserve">3.1. Interessado: </w:t>
      </w:r>
      <w:r w:rsidRPr="00E45350">
        <w:rPr>
          <w:szCs w:val="24"/>
        </w:rPr>
        <w:t>Marcus Alexandre Médici Aguiar (CPF n.º 264.703.988-71).</w:t>
      </w:r>
    </w:p>
    <w:p w:rsidR="0087471B" w:rsidRPr="00DE0343" w:rsidRDefault="0087471B" w:rsidP="00281FF0">
      <w:pPr>
        <w:widowControl w:val="0"/>
        <w:tabs>
          <w:tab w:val="left" w:pos="284"/>
        </w:tabs>
        <w:autoSpaceDE w:val="0"/>
        <w:autoSpaceDN w:val="0"/>
        <w:jc w:val="both"/>
        <w:rPr>
          <w:szCs w:val="24"/>
        </w:rPr>
      </w:pPr>
      <w:r w:rsidRPr="00DE0343">
        <w:rPr>
          <w:szCs w:val="24"/>
        </w:rPr>
        <w:t xml:space="preserve">4. </w:t>
      </w:r>
      <w:r>
        <w:rPr>
          <w:szCs w:val="24"/>
        </w:rPr>
        <w:t>Órgão/Entidade</w:t>
      </w:r>
      <w:r w:rsidRPr="00DE0343">
        <w:rPr>
          <w:szCs w:val="24"/>
        </w:rPr>
        <w:t xml:space="preserve">: </w:t>
      </w:r>
      <w:r w:rsidRPr="00670897">
        <w:rPr>
          <w:color w:val="000000"/>
        </w:rPr>
        <w:t>Departamento Nacional de Infraestrutura de Transporte – Dnit e Departamento de Estradas de Rodagem do Acre - Deracre</w:t>
      </w:r>
    </w:p>
    <w:p w:rsidR="0087471B" w:rsidRDefault="0087471B" w:rsidP="00281FF0">
      <w:pPr>
        <w:widowControl w:val="0"/>
        <w:tabs>
          <w:tab w:val="left" w:pos="284"/>
        </w:tabs>
        <w:autoSpaceDE w:val="0"/>
        <w:autoSpaceDN w:val="0"/>
        <w:jc w:val="both"/>
        <w:rPr>
          <w:szCs w:val="24"/>
        </w:rPr>
      </w:pPr>
      <w:r w:rsidRPr="00DE0343">
        <w:rPr>
          <w:szCs w:val="24"/>
        </w:rPr>
        <w:t>5. Relator: Ministro Benjamin Zymler.</w:t>
      </w:r>
    </w:p>
    <w:p w:rsidR="0087471B" w:rsidRPr="00DE0343" w:rsidRDefault="0087471B" w:rsidP="00281FF0">
      <w:pPr>
        <w:widowControl w:val="0"/>
        <w:tabs>
          <w:tab w:val="left" w:pos="284"/>
        </w:tabs>
        <w:autoSpaceDE w:val="0"/>
        <w:autoSpaceDN w:val="0"/>
        <w:jc w:val="both"/>
        <w:rPr>
          <w:szCs w:val="24"/>
        </w:rPr>
      </w:pPr>
      <w:r>
        <w:rPr>
          <w:szCs w:val="24"/>
        </w:rPr>
        <w:t>5.1. Relator da deliberação recorrida: Ministro Valmir Campelo</w:t>
      </w:r>
    </w:p>
    <w:p w:rsidR="0087471B" w:rsidRPr="00DE0343" w:rsidRDefault="0087471B" w:rsidP="00281FF0">
      <w:pPr>
        <w:widowControl w:val="0"/>
        <w:tabs>
          <w:tab w:val="left" w:pos="284"/>
        </w:tabs>
        <w:autoSpaceDE w:val="0"/>
        <w:autoSpaceDN w:val="0"/>
        <w:jc w:val="both"/>
        <w:rPr>
          <w:szCs w:val="24"/>
        </w:rPr>
      </w:pPr>
      <w:r w:rsidRPr="00DE0343">
        <w:rPr>
          <w:szCs w:val="24"/>
        </w:rPr>
        <w:t>6. Representante do Ministério Público: não atuou.</w:t>
      </w:r>
    </w:p>
    <w:p w:rsidR="0087471B" w:rsidRPr="00DE0343" w:rsidRDefault="0087471B" w:rsidP="00281FF0">
      <w:pPr>
        <w:widowControl w:val="0"/>
        <w:tabs>
          <w:tab w:val="left" w:pos="284"/>
        </w:tabs>
        <w:autoSpaceDE w:val="0"/>
        <w:autoSpaceDN w:val="0"/>
        <w:jc w:val="both"/>
        <w:rPr>
          <w:szCs w:val="24"/>
        </w:rPr>
      </w:pPr>
      <w:r w:rsidRPr="00DE0343">
        <w:rPr>
          <w:szCs w:val="24"/>
        </w:rPr>
        <w:t>7. Unidade: Se</w:t>
      </w:r>
      <w:r>
        <w:rPr>
          <w:szCs w:val="24"/>
        </w:rPr>
        <w:t>rur</w:t>
      </w:r>
    </w:p>
    <w:p w:rsidR="0087471B" w:rsidRPr="00DE0343" w:rsidRDefault="0087471B" w:rsidP="00281FF0">
      <w:pPr>
        <w:widowControl w:val="0"/>
        <w:tabs>
          <w:tab w:val="left" w:pos="284"/>
        </w:tabs>
        <w:autoSpaceDE w:val="0"/>
        <w:autoSpaceDN w:val="0"/>
        <w:jc w:val="both"/>
        <w:rPr>
          <w:szCs w:val="24"/>
        </w:rPr>
      </w:pPr>
      <w:r w:rsidRPr="00DE0343">
        <w:rPr>
          <w:szCs w:val="24"/>
        </w:rPr>
        <w:t xml:space="preserve">8. Advogado constituído nos autos: </w:t>
      </w:r>
      <w:r>
        <w:t>Fernando Daniel Faria da Conceição, OAB/AC 2535</w:t>
      </w:r>
    </w:p>
    <w:p w:rsidR="0087471B" w:rsidRDefault="0087471B" w:rsidP="00281FF0">
      <w:pPr>
        <w:widowControl w:val="0"/>
        <w:tabs>
          <w:tab w:val="left" w:pos="284"/>
        </w:tabs>
        <w:autoSpaceDE w:val="0"/>
        <w:autoSpaceDN w:val="0"/>
        <w:jc w:val="both"/>
        <w:rPr>
          <w:szCs w:val="24"/>
        </w:rPr>
      </w:pPr>
    </w:p>
    <w:p w:rsidR="0087471B" w:rsidRDefault="0087471B" w:rsidP="00281FF0">
      <w:pPr>
        <w:widowControl w:val="0"/>
        <w:tabs>
          <w:tab w:val="left" w:pos="284"/>
        </w:tabs>
        <w:autoSpaceDE w:val="0"/>
        <w:autoSpaceDN w:val="0"/>
        <w:jc w:val="both"/>
        <w:rPr>
          <w:szCs w:val="24"/>
        </w:rPr>
      </w:pPr>
      <w:r w:rsidRPr="00DE0343">
        <w:rPr>
          <w:szCs w:val="24"/>
        </w:rPr>
        <w:t>9. Acórdão:</w:t>
      </w:r>
    </w:p>
    <w:p w:rsidR="0087471B" w:rsidRPr="00DF6103" w:rsidRDefault="0087471B" w:rsidP="00281FF0">
      <w:pPr>
        <w:widowControl w:val="0"/>
        <w:tabs>
          <w:tab w:val="left" w:pos="284"/>
          <w:tab w:val="left" w:pos="709"/>
        </w:tabs>
        <w:autoSpaceDE w:val="0"/>
        <w:autoSpaceDN w:val="0"/>
        <w:ind w:firstLine="709"/>
        <w:jc w:val="both"/>
        <w:rPr>
          <w:szCs w:val="24"/>
        </w:rPr>
      </w:pPr>
      <w:r w:rsidRPr="00DF6103">
        <w:rPr>
          <w:szCs w:val="24"/>
        </w:rPr>
        <w:t xml:space="preserve">VISTOS, relatados e discutidos estes autos </w:t>
      </w:r>
      <w:r w:rsidRPr="005F64A9">
        <w:t>pedido de reexame interposto</w:t>
      </w:r>
      <w:r>
        <w:rPr>
          <w:color w:val="000000"/>
        </w:rPr>
        <w:t xml:space="preserve"> em face do </w:t>
      </w:r>
      <w:r w:rsidRPr="00E45350">
        <w:t>Acórdão 1192/2009-Plenário.</w:t>
      </w:r>
    </w:p>
    <w:p w:rsidR="0087471B" w:rsidRPr="00DF6103" w:rsidRDefault="0087471B" w:rsidP="00281FF0">
      <w:pPr>
        <w:widowControl w:val="0"/>
        <w:tabs>
          <w:tab w:val="left" w:pos="284"/>
          <w:tab w:val="left" w:pos="709"/>
        </w:tabs>
        <w:autoSpaceDE w:val="0"/>
        <w:autoSpaceDN w:val="0"/>
        <w:ind w:firstLine="709"/>
        <w:jc w:val="both"/>
        <w:rPr>
          <w:szCs w:val="24"/>
        </w:rPr>
      </w:pPr>
      <w:r w:rsidRPr="00E24A4A">
        <w:rPr>
          <w:szCs w:val="24"/>
        </w:rPr>
        <w:t>ACORDAM os Ministros do Tribunal de Contas da União, reunidos em Sessão do Plenário, ante as razões expostas pelo Relator, em:</w:t>
      </w:r>
    </w:p>
    <w:p w:rsidR="0087471B" w:rsidRPr="00E24A4A" w:rsidRDefault="0087471B" w:rsidP="00281FF0">
      <w:pPr>
        <w:widowControl w:val="0"/>
        <w:tabs>
          <w:tab w:val="left" w:pos="284"/>
          <w:tab w:val="left" w:pos="709"/>
        </w:tabs>
        <w:autoSpaceDE w:val="0"/>
        <w:autoSpaceDN w:val="0"/>
        <w:ind w:firstLine="709"/>
        <w:jc w:val="both"/>
        <w:rPr>
          <w:szCs w:val="24"/>
        </w:rPr>
      </w:pPr>
      <w:r w:rsidRPr="00E24A4A">
        <w:rPr>
          <w:szCs w:val="24"/>
        </w:rPr>
        <w:t>9.1. com fulcro nos arts. 32, 33 e 48 da Lei 8.443/92, conhecer do presente pedido de reexame para, no mérito, dar-lhe provimento de forma a tornar insubsistente os ite</w:t>
      </w:r>
      <w:r>
        <w:rPr>
          <w:szCs w:val="24"/>
        </w:rPr>
        <w:t>n</w:t>
      </w:r>
      <w:r w:rsidRPr="00E24A4A">
        <w:rPr>
          <w:szCs w:val="24"/>
        </w:rPr>
        <w:t>s 9.2, 9.3 e 9.4 do Acórdão 1192/2009-Plenário;</w:t>
      </w:r>
    </w:p>
    <w:p w:rsidR="0087471B" w:rsidRPr="00E24A4A" w:rsidRDefault="0087471B" w:rsidP="00281FF0">
      <w:pPr>
        <w:widowControl w:val="0"/>
        <w:tabs>
          <w:tab w:val="left" w:pos="284"/>
          <w:tab w:val="left" w:pos="709"/>
        </w:tabs>
        <w:autoSpaceDE w:val="0"/>
        <w:autoSpaceDN w:val="0"/>
        <w:ind w:firstLine="709"/>
        <w:jc w:val="both"/>
        <w:rPr>
          <w:szCs w:val="24"/>
        </w:rPr>
      </w:pPr>
      <w:r w:rsidRPr="00E24A4A">
        <w:rPr>
          <w:szCs w:val="24"/>
        </w:rPr>
        <w:t xml:space="preserve">9.2. dar ciência </w:t>
      </w:r>
      <w:r>
        <w:rPr>
          <w:szCs w:val="24"/>
        </w:rPr>
        <w:t>ao</w:t>
      </w:r>
      <w:r w:rsidRPr="00E24A4A">
        <w:rPr>
          <w:szCs w:val="24"/>
        </w:rPr>
        <w:t xml:space="preserve"> recorrente do teor desta deliberação; </w:t>
      </w:r>
    </w:p>
    <w:p w:rsidR="0087471B" w:rsidRDefault="0087471B" w:rsidP="00281FF0">
      <w:pPr>
        <w:widowControl w:val="0"/>
        <w:tabs>
          <w:tab w:val="left" w:pos="284"/>
        </w:tabs>
        <w:autoSpaceDE w:val="0"/>
        <w:autoSpaceDN w:val="0"/>
        <w:jc w:val="both"/>
        <w:rPr>
          <w:szCs w:val="24"/>
        </w:rPr>
      </w:pPr>
    </w:p>
    <w:p w:rsidR="0087471B" w:rsidRDefault="0087471B" w:rsidP="00281FF0">
      <w:pPr>
        <w:jc w:val="both"/>
        <w:rPr>
          <w:color w:val="000000"/>
          <w:szCs w:val="24"/>
        </w:rPr>
      </w:pPr>
      <w:r>
        <w:rPr>
          <w:color w:val="000000"/>
          <w:szCs w:val="24"/>
        </w:rPr>
        <w:t>10. Ata n° 41/2010 – Plenário.</w:t>
      </w:r>
    </w:p>
    <w:p w:rsidR="0087471B" w:rsidRDefault="0087471B" w:rsidP="00281FF0">
      <w:pPr>
        <w:jc w:val="both"/>
        <w:rPr>
          <w:color w:val="000000"/>
          <w:szCs w:val="24"/>
        </w:rPr>
      </w:pPr>
      <w:r>
        <w:rPr>
          <w:color w:val="000000"/>
          <w:szCs w:val="24"/>
        </w:rPr>
        <w:t>11. Data da Sessão: 3/11/2010 – Ordinária.</w:t>
      </w:r>
    </w:p>
    <w:p w:rsidR="0087471B" w:rsidRDefault="0087471B" w:rsidP="00281FF0">
      <w:pPr>
        <w:jc w:val="both"/>
        <w:rPr>
          <w:color w:val="000000"/>
          <w:szCs w:val="24"/>
        </w:rPr>
      </w:pPr>
      <w:r>
        <w:rPr>
          <w:color w:val="000000"/>
          <w:szCs w:val="24"/>
        </w:rPr>
        <w:t>12. Código eletrônico para localização na página do TCU na Internet: AC-2931-41/10-P.</w:t>
      </w:r>
    </w:p>
    <w:p w:rsidR="0087471B" w:rsidRDefault="0087471B" w:rsidP="00281FF0">
      <w:pPr>
        <w:jc w:val="both"/>
        <w:rPr>
          <w:color w:val="000000"/>
          <w:szCs w:val="24"/>
        </w:rPr>
      </w:pPr>
      <w:r>
        <w:rPr>
          <w:color w:val="000000"/>
          <w:szCs w:val="24"/>
        </w:rPr>
        <w:t>13. Especificação do quorum:</w:t>
      </w:r>
    </w:p>
    <w:p w:rsidR="0087471B" w:rsidRDefault="0087471B" w:rsidP="00281FF0">
      <w:pPr>
        <w:jc w:val="both"/>
        <w:rPr>
          <w:szCs w:val="24"/>
        </w:rPr>
      </w:pPr>
      <w:r>
        <w:rPr>
          <w:szCs w:val="24"/>
        </w:rPr>
        <w:t>13.1. Ministros presentes: Ubiratan Aguiar (Presidente), Valmir Campelo, Walton Alencar Rodrigues, Benjamin Zymler (Relator), Augusto Nardes, Aroldo Cedraz, Raimundo Carreiro, José Jorge e José Múcio Monteiro.</w:t>
      </w:r>
    </w:p>
    <w:p w:rsidR="0087471B" w:rsidRDefault="0087471B" w:rsidP="00281FF0">
      <w:pPr>
        <w:jc w:val="both"/>
        <w:rPr>
          <w:szCs w:val="24"/>
        </w:rPr>
      </w:pPr>
      <w:r>
        <w:rPr>
          <w:szCs w:val="24"/>
        </w:rPr>
        <w:t>13.2. Auditores presentes: Augusto Sherman Cavalcanti, Marcos Bemquerer Costa, André Luís de Carvalho e Weder de Oliveira.</w:t>
      </w:r>
    </w:p>
    <w:p w:rsidR="0087471B" w:rsidRDefault="0087471B" w:rsidP="00281FF0">
      <w:pPr>
        <w:jc w:val="both"/>
        <w:rPr>
          <w:color w:val="000000"/>
          <w:szCs w:val="24"/>
        </w:rPr>
      </w:pPr>
    </w:p>
    <w:p w:rsidR="0087471B" w:rsidRDefault="0087471B" w:rsidP="00281FF0">
      <w:pPr>
        <w:jc w:val="both"/>
        <w:rPr>
          <w:color w:val="000000"/>
          <w:szCs w:val="24"/>
        </w:rPr>
      </w:pPr>
    </w:p>
    <w:tbl>
      <w:tblPr>
        <w:tblW w:w="10200" w:type="dxa"/>
        <w:jc w:val="center"/>
        <w:tblLayout w:type="fixed"/>
        <w:tblCellMar>
          <w:left w:w="0" w:type="dxa"/>
          <w:right w:w="0" w:type="dxa"/>
        </w:tblCellMar>
        <w:tblLook w:val="0000"/>
      </w:tblPr>
      <w:tblGrid>
        <w:gridCol w:w="5100"/>
        <w:gridCol w:w="5100"/>
      </w:tblGrid>
      <w:tr w:rsidR="0087471B" w:rsidRPr="0087471B" w:rsidTr="00281FF0">
        <w:trPr>
          <w:jc w:val="center"/>
        </w:trPr>
        <w:tc>
          <w:tcPr>
            <w:tcW w:w="5100" w:type="dxa"/>
            <w:tcBorders>
              <w:top w:val="nil"/>
              <w:left w:val="nil"/>
              <w:bottom w:val="nil"/>
              <w:right w:val="nil"/>
            </w:tcBorders>
          </w:tcPr>
          <w:p w:rsidR="0087471B" w:rsidRPr="0087471B" w:rsidRDefault="0087471B" w:rsidP="00281FF0">
            <w:pPr>
              <w:jc w:val="center"/>
              <w:rPr>
                <w:color w:val="000000"/>
                <w:sz w:val="20"/>
              </w:rPr>
            </w:pPr>
            <w:r w:rsidRPr="0087471B">
              <w:rPr>
                <w:color w:val="000000"/>
                <w:sz w:val="20"/>
              </w:rPr>
              <w:t>(Assinado Eletronicamente)</w:t>
            </w:r>
          </w:p>
          <w:p w:rsidR="0087471B" w:rsidRPr="0087471B" w:rsidRDefault="0087471B" w:rsidP="00281FF0">
            <w:pPr>
              <w:jc w:val="center"/>
              <w:rPr>
                <w:color w:val="000000"/>
                <w:szCs w:val="24"/>
              </w:rPr>
            </w:pPr>
            <w:r w:rsidRPr="0087471B">
              <w:rPr>
                <w:color w:val="000000"/>
                <w:szCs w:val="24"/>
              </w:rPr>
              <w:t>UBIRATAN AGUIAR</w:t>
            </w:r>
          </w:p>
        </w:tc>
        <w:tc>
          <w:tcPr>
            <w:tcW w:w="5100" w:type="dxa"/>
            <w:tcBorders>
              <w:top w:val="nil"/>
              <w:left w:val="nil"/>
              <w:bottom w:val="nil"/>
              <w:right w:val="nil"/>
            </w:tcBorders>
          </w:tcPr>
          <w:p w:rsidR="0087471B" w:rsidRPr="0087471B" w:rsidRDefault="0087471B" w:rsidP="00281FF0">
            <w:pPr>
              <w:jc w:val="center"/>
              <w:rPr>
                <w:color w:val="000000"/>
                <w:sz w:val="20"/>
              </w:rPr>
            </w:pPr>
            <w:r w:rsidRPr="0087471B">
              <w:rPr>
                <w:color w:val="000000"/>
                <w:sz w:val="20"/>
              </w:rPr>
              <w:t>(Assinado Eletronicamente)</w:t>
            </w:r>
          </w:p>
          <w:p w:rsidR="0087471B" w:rsidRPr="0087471B" w:rsidRDefault="0087471B" w:rsidP="00281FF0">
            <w:pPr>
              <w:jc w:val="center"/>
              <w:rPr>
                <w:color w:val="000000"/>
                <w:szCs w:val="24"/>
              </w:rPr>
            </w:pPr>
            <w:r w:rsidRPr="0087471B">
              <w:rPr>
                <w:color w:val="000000"/>
                <w:szCs w:val="24"/>
              </w:rPr>
              <w:t>BENJAMIN ZYMLER</w:t>
            </w:r>
          </w:p>
        </w:tc>
      </w:tr>
      <w:tr w:rsidR="0087471B" w:rsidRPr="0087471B" w:rsidTr="00281FF0">
        <w:trPr>
          <w:jc w:val="center"/>
        </w:trPr>
        <w:tc>
          <w:tcPr>
            <w:tcW w:w="5100" w:type="dxa"/>
            <w:tcBorders>
              <w:top w:val="nil"/>
              <w:left w:val="nil"/>
              <w:bottom w:val="nil"/>
              <w:right w:val="nil"/>
            </w:tcBorders>
          </w:tcPr>
          <w:p w:rsidR="0087471B" w:rsidRPr="0087471B" w:rsidRDefault="0087471B" w:rsidP="00281FF0">
            <w:pPr>
              <w:jc w:val="center"/>
              <w:rPr>
                <w:color w:val="000000"/>
                <w:szCs w:val="24"/>
              </w:rPr>
            </w:pPr>
            <w:r w:rsidRPr="0087471B">
              <w:rPr>
                <w:color w:val="000000"/>
                <w:szCs w:val="24"/>
              </w:rPr>
              <w:t>Presidente</w:t>
            </w:r>
          </w:p>
        </w:tc>
        <w:tc>
          <w:tcPr>
            <w:tcW w:w="5100" w:type="dxa"/>
            <w:tcBorders>
              <w:top w:val="nil"/>
              <w:left w:val="nil"/>
              <w:bottom w:val="nil"/>
              <w:right w:val="nil"/>
            </w:tcBorders>
          </w:tcPr>
          <w:p w:rsidR="0087471B" w:rsidRPr="0087471B" w:rsidRDefault="0087471B" w:rsidP="00281FF0">
            <w:pPr>
              <w:jc w:val="center"/>
              <w:rPr>
                <w:color w:val="000000"/>
                <w:szCs w:val="24"/>
              </w:rPr>
            </w:pPr>
            <w:r w:rsidRPr="0087471B">
              <w:rPr>
                <w:color w:val="000000"/>
                <w:szCs w:val="24"/>
              </w:rPr>
              <w:t>Relator</w:t>
            </w:r>
          </w:p>
        </w:tc>
      </w:tr>
    </w:tbl>
    <w:p w:rsidR="0087471B" w:rsidRDefault="0087471B" w:rsidP="00281FF0">
      <w:pPr>
        <w:jc w:val="center"/>
        <w:rPr>
          <w:color w:val="000000"/>
          <w:szCs w:val="24"/>
        </w:rPr>
      </w:pPr>
    </w:p>
    <w:p w:rsidR="0087471B" w:rsidRDefault="0087471B" w:rsidP="00281FF0">
      <w:pPr>
        <w:jc w:val="center"/>
        <w:rPr>
          <w:color w:val="000000"/>
          <w:szCs w:val="24"/>
        </w:rPr>
      </w:pPr>
    </w:p>
    <w:p w:rsidR="0087471B" w:rsidRDefault="0087471B" w:rsidP="00281FF0">
      <w:pPr>
        <w:jc w:val="center"/>
        <w:rPr>
          <w:color w:val="000000"/>
          <w:szCs w:val="24"/>
        </w:rPr>
      </w:pPr>
      <w:r>
        <w:rPr>
          <w:color w:val="000000"/>
          <w:szCs w:val="24"/>
        </w:rPr>
        <w:t>Fui presente:</w:t>
      </w:r>
    </w:p>
    <w:p w:rsidR="0087471B" w:rsidRDefault="0087471B" w:rsidP="00281FF0">
      <w:pPr>
        <w:jc w:val="center"/>
        <w:rPr>
          <w:color w:val="000000"/>
          <w:szCs w:val="24"/>
        </w:rPr>
      </w:pPr>
    </w:p>
    <w:p w:rsidR="0087471B" w:rsidRDefault="0087471B" w:rsidP="00281FF0">
      <w:pPr>
        <w:jc w:val="center"/>
        <w:rPr>
          <w:color w:val="000000"/>
          <w:szCs w:val="24"/>
        </w:rPr>
      </w:pPr>
    </w:p>
    <w:p w:rsidR="0087471B" w:rsidRDefault="0087471B" w:rsidP="00281FF0">
      <w:pPr>
        <w:jc w:val="center"/>
        <w:rPr>
          <w:color w:val="000000"/>
          <w:sz w:val="20"/>
        </w:rPr>
      </w:pPr>
      <w:r>
        <w:rPr>
          <w:color w:val="000000"/>
          <w:sz w:val="20"/>
        </w:rPr>
        <w:t>(Assinado Eletronicamente)</w:t>
      </w:r>
    </w:p>
    <w:p w:rsidR="0087471B" w:rsidRDefault="0087471B" w:rsidP="00281FF0">
      <w:pPr>
        <w:jc w:val="center"/>
        <w:rPr>
          <w:color w:val="000000"/>
          <w:szCs w:val="24"/>
        </w:rPr>
      </w:pPr>
      <w:r>
        <w:rPr>
          <w:color w:val="000000"/>
          <w:szCs w:val="24"/>
        </w:rPr>
        <w:t>LUCAS ROCHA FURTADO</w:t>
      </w:r>
    </w:p>
    <w:p w:rsidR="0087471B" w:rsidRDefault="0087471B" w:rsidP="00281FF0">
      <w:pPr>
        <w:jc w:val="center"/>
        <w:rPr>
          <w:color w:val="000000"/>
          <w:szCs w:val="24"/>
        </w:rPr>
      </w:pPr>
      <w:r>
        <w:rPr>
          <w:color w:val="000000"/>
          <w:szCs w:val="24"/>
        </w:rPr>
        <w:t>Procurador-Geral</w:t>
      </w:r>
    </w:p>
    <w:p w:rsidR="0087471B" w:rsidRPr="00956937" w:rsidRDefault="0087471B" w:rsidP="00281FF0">
      <w:pPr>
        <w:jc w:val="both"/>
        <w:rPr>
          <w:color w:val="000000"/>
          <w:szCs w:val="24"/>
        </w:rPr>
      </w:pPr>
    </w:p>
    <w:p w:rsidR="0087471B" w:rsidRPr="008639E2" w:rsidRDefault="0087471B" w:rsidP="00281FF0">
      <w:pPr>
        <w:widowControl w:val="0"/>
        <w:tabs>
          <w:tab w:val="left" w:pos="284"/>
        </w:tabs>
        <w:autoSpaceDE w:val="0"/>
        <w:autoSpaceDN w:val="0"/>
        <w:jc w:val="both"/>
        <w:rPr>
          <w:szCs w:val="24"/>
        </w:rPr>
      </w:pPr>
    </w:p>
    <w:p w:rsidR="00A256E1" w:rsidRPr="00E45350" w:rsidRDefault="00A256E1" w:rsidP="007D5A60">
      <w:pPr>
        <w:pStyle w:val="TCU-SemRecuo"/>
        <w:spacing w:after="120"/>
        <w:ind w:firstLine="709"/>
      </w:pPr>
    </w:p>
    <w:sectPr w:rsidR="00A256E1" w:rsidRPr="00E45350" w:rsidSect="00991087">
      <w:headerReference w:type="default" r:id="rId9"/>
      <w:footerReference w:type="default" r:id="rId10"/>
      <w:pgSz w:w="11906" w:h="16838" w:code="9"/>
      <w:pgMar w:top="1671" w:right="567" w:bottom="851" w:left="1418" w:header="855"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5434" w:rsidRDefault="004A5434" w:rsidP="00ED5179">
      <w:r>
        <w:separator/>
      </w:r>
    </w:p>
  </w:endnote>
  <w:endnote w:type="continuationSeparator" w:id="0">
    <w:p w:rsidR="004A5434" w:rsidRDefault="004A5434" w:rsidP="00ED517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W1)">
    <w:altName w:val="Times New Roman"/>
    <w:charset w:val="00"/>
    <w:family w:val="roman"/>
    <w:pitch w:val="variable"/>
    <w:sig w:usb0="00000000" w:usb1="C0007841"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E2" w:rsidRDefault="00427FD8">
    <w:pPr>
      <w:pStyle w:val="Rodap"/>
      <w:jc w:val="right"/>
    </w:pPr>
    <w:fldSimple w:instr=" PAGE   \* MERGEFORMAT ">
      <w:r w:rsidR="00BE0194">
        <w:rPr>
          <w:noProof/>
        </w:rPr>
        <w:t>11</w:t>
      </w:r>
    </w:fldSimple>
  </w:p>
  <w:p w:rsidR="009C1CD2" w:rsidRDefault="009C1CD2" w:rsidP="00D702D9">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5434" w:rsidRDefault="004A5434" w:rsidP="00ED5179">
      <w:r>
        <w:separator/>
      </w:r>
    </w:p>
  </w:footnote>
  <w:footnote w:type="continuationSeparator" w:id="0">
    <w:p w:rsidR="004A5434" w:rsidRDefault="004A5434" w:rsidP="00ED517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CD2" w:rsidRDefault="005F75EB">
    <w:pPr>
      <w:pStyle w:val="Cabealho"/>
    </w:pPr>
    <w:r>
      <w:rPr>
        <w:noProof/>
        <w:lang w:eastAsia="pt-BR"/>
      </w:rPr>
      <w:drawing>
        <wp:anchor distT="0" distB="0" distL="114300" distR="114300" simplePos="0" relativeHeight="251657728" behindDoc="0" locked="0" layoutInCell="1" allowOverlap="1">
          <wp:simplePos x="0" y="0"/>
          <wp:positionH relativeFrom="column">
            <wp:posOffset>23495</wp:posOffset>
          </wp:positionH>
          <wp:positionV relativeFrom="paragraph">
            <wp:posOffset>-47625</wp:posOffset>
          </wp:positionV>
          <wp:extent cx="638175" cy="552450"/>
          <wp:effectExtent l="19050" t="0" r="9525" b="0"/>
          <wp:wrapThrough wrapText="bothSides">
            <wp:wrapPolygon edited="0">
              <wp:start x="-645" y="0"/>
              <wp:lineTo x="-645" y="20855"/>
              <wp:lineTo x="21922" y="20855"/>
              <wp:lineTo x="21922" y="0"/>
              <wp:lineTo x="-645" y="0"/>
            </wp:wrapPolygon>
          </wp:wrapThrough>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srcRect/>
                  <a:stretch>
                    <a:fillRect/>
                  </a:stretch>
                </pic:blipFill>
                <pic:spPr bwMode="auto">
                  <a:xfrm>
                    <a:off x="0" y="0"/>
                    <a:ext cx="638175" cy="552450"/>
                  </a:xfrm>
                  <a:prstGeom prst="rect">
                    <a:avLst/>
                  </a:prstGeom>
                  <a:noFill/>
                  <a:ln w="9525">
                    <a:noFill/>
                    <a:miter lim="800000"/>
                    <a:headEnd/>
                    <a:tailEnd/>
                  </a:ln>
                </pic:spPr>
              </pic:pic>
            </a:graphicData>
          </a:graphic>
        </wp:anchor>
      </w:drawing>
    </w:r>
  </w:p>
  <w:p w:rsidR="006006C2" w:rsidRPr="001A0F92" w:rsidRDefault="009C1CD2" w:rsidP="00C35594">
    <w:pPr>
      <w:rPr>
        <w:sz w:val="22"/>
      </w:rPr>
    </w:pPr>
    <w:r w:rsidRPr="00C35594">
      <w:t xml:space="preserve">                   </w:t>
    </w:r>
    <w:r w:rsidRPr="00327A3D">
      <w:rPr>
        <w:rFonts w:ascii="Arial Black" w:hAnsi="Arial Black"/>
        <w:b/>
        <w:sz w:val="18"/>
        <w:szCs w:val="18"/>
      </w:rPr>
      <w:t>TRIBUNAL DE CONTAS DA UNIÃO</w:t>
    </w:r>
    <w:r w:rsidRPr="001A0F92">
      <w:rPr>
        <w:sz w:val="22"/>
      </w:rPr>
      <w:tab/>
    </w:r>
    <w:r w:rsidRPr="001A0F92">
      <w:rPr>
        <w:sz w:val="22"/>
      </w:rPr>
      <w:tab/>
    </w:r>
    <w:r w:rsidRPr="00327A3D">
      <w:rPr>
        <w:rFonts w:ascii="Arial" w:hAnsi="Arial" w:cs="Arial"/>
        <w:sz w:val="18"/>
        <w:szCs w:val="18"/>
      </w:rPr>
      <w:t>TC 015.682/2008-0</w:t>
    </w:r>
  </w:p>
  <w:p w:rsidR="006006C2" w:rsidRPr="008D43AA" w:rsidRDefault="006006C2" w:rsidP="008D43AA">
    <w:pPr>
      <w:pStyle w:val="Cabealho"/>
      <w:tabs>
        <w:tab w:val="clear" w:pos="8504"/>
        <w:tab w:val="right" w:pos="9923"/>
      </w:tabs>
      <w:rPr>
        <w:rFonts w:ascii="Times New (W1)" w:hAnsi="Times New (W1)"/>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6E0D49"/>
    <w:multiLevelType w:val="multilevel"/>
    <w:tmpl w:val="1DE05F94"/>
    <w:lvl w:ilvl="0">
      <w:start w:val="8"/>
      <w:numFmt w:val="decimal"/>
      <w:lvlText w:val="%1."/>
      <w:lvlJc w:val="left"/>
      <w:pPr>
        <w:ind w:left="360" w:hanging="360"/>
      </w:pPr>
      <w:rPr>
        <w:rFonts w:cs="Times New Roman" w:hint="default"/>
        <w:b/>
        <w:u w:val="single"/>
      </w:rPr>
    </w:lvl>
    <w:lvl w:ilvl="1">
      <w:start w:val="1"/>
      <w:numFmt w:val="decimal"/>
      <w:lvlText w:val="%1.%2."/>
      <w:lvlJc w:val="left"/>
      <w:pPr>
        <w:ind w:left="360" w:hanging="360"/>
      </w:pPr>
      <w:rPr>
        <w:rFonts w:cs="Times New Roman" w:hint="default"/>
        <w:b w:val="0"/>
        <w:u w:val="none"/>
      </w:rPr>
    </w:lvl>
    <w:lvl w:ilvl="2">
      <w:start w:val="1"/>
      <w:numFmt w:val="decimal"/>
      <w:lvlText w:val="%1.%2.%3."/>
      <w:lvlJc w:val="left"/>
      <w:pPr>
        <w:ind w:left="720" w:hanging="720"/>
      </w:pPr>
      <w:rPr>
        <w:rFonts w:cs="Times New Roman" w:hint="default"/>
        <w:b/>
        <w:u w:val="single"/>
      </w:rPr>
    </w:lvl>
    <w:lvl w:ilvl="3">
      <w:start w:val="1"/>
      <w:numFmt w:val="decimal"/>
      <w:lvlText w:val="%1.%2.%3.%4."/>
      <w:lvlJc w:val="left"/>
      <w:pPr>
        <w:ind w:left="720" w:hanging="720"/>
      </w:pPr>
      <w:rPr>
        <w:rFonts w:cs="Times New Roman" w:hint="default"/>
        <w:b/>
        <w:u w:val="single"/>
      </w:rPr>
    </w:lvl>
    <w:lvl w:ilvl="4">
      <w:start w:val="1"/>
      <w:numFmt w:val="decimal"/>
      <w:lvlText w:val="%1.%2.%3.%4.%5."/>
      <w:lvlJc w:val="left"/>
      <w:pPr>
        <w:ind w:left="1080" w:hanging="1080"/>
      </w:pPr>
      <w:rPr>
        <w:rFonts w:cs="Times New Roman" w:hint="default"/>
        <w:b/>
        <w:u w:val="single"/>
      </w:rPr>
    </w:lvl>
    <w:lvl w:ilvl="5">
      <w:start w:val="1"/>
      <w:numFmt w:val="decimal"/>
      <w:lvlText w:val="%1.%2.%3.%4.%5.%6."/>
      <w:lvlJc w:val="left"/>
      <w:pPr>
        <w:ind w:left="1080" w:hanging="1080"/>
      </w:pPr>
      <w:rPr>
        <w:rFonts w:cs="Times New Roman" w:hint="default"/>
        <w:b/>
        <w:u w:val="single"/>
      </w:rPr>
    </w:lvl>
    <w:lvl w:ilvl="6">
      <w:start w:val="1"/>
      <w:numFmt w:val="decimal"/>
      <w:lvlText w:val="%1.%2.%3.%4.%5.%6.%7."/>
      <w:lvlJc w:val="left"/>
      <w:pPr>
        <w:ind w:left="1440" w:hanging="1440"/>
      </w:pPr>
      <w:rPr>
        <w:rFonts w:cs="Times New Roman" w:hint="default"/>
        <w:b/>
        <w:u w:val="single"/>
      </w:rPr>
    </w:lvl>
    <w:lvl w:ilvl="7">
      <w:start w:val="1"/>
      <w:numFmt w:val="decimal"/>
      <w:lvlText w:val="%1.%2.%3.%4.%5.%6.%7.%8."/>
      <w:lvlJc w:val="left"/>
      <w:pPr>
        <w:ind w:left="1440" w:hanging="1440"/>
      </w:pPr>
      <w:rPr>
        <w:rFonts w:cs="Times New Roman" w:hint="default"/>
        <w:b/>
        <w:u w:val="single"/>
      </w:rPr>
    </w:lvl>
    <w:lvl w:ilvl="8">
      <w:start w:val="1"/>
      <w:numFmt w:val="decimal"/>
      <w:lvlText w:val="%1.%2.%3.%4.%5.%6.%7.%8.%9."/>
      <w:lvlJc w:val="left"/>
      <w:pPr>
        <w:ind w:left="1800" w:hanging="1800"/>
      </w:pPr>
      <w:rPr>
        <w:rFonts w:cs="Times New Roman" w:hint="default"/>
        <w:b/>
        <w:u w:val="single"/>
      </w:rPr>
    </w:lvl>
  </w:abstractNum>
  <w:abstractNum w:abstractNumId="1">
    <w:nsid w:val="4EA1448F"/>
    <w:multiLevelType w:val="multilevel"/>
    <w:tmpl w:val="CE8E9F50"/>
    <w:lvl w:ilvl="0">
      <w:start w:val="6"/>
      <w:numFmt w:val="decimal"/>
      <w:lvlText w:val="%1."/>
      <w:lvlJc w:val="left"/>
      <w:pPr>
        <w:ind w:left="360" w:hanging="360"/>
      </w:pPr>
      <w:rPr>
        <w:rFonts w:cs="Times New Roman" w:hint="default"/>
        <w:b w:val="0"/>
        <w:u w:val="none"/>
      </w:rPr>
    </w:lvl>
    <w:lvl w:ilvl="1">
      <w:start w:val="5"/>
      <w:numFmt w:val="decimal"/>
      <w:lvlText w:val="%1.%2."/>
      <w:lvlJc w:val="left"/>
      <w:pPr>
        <w:ind w:left="360" w:hanging="360"/>
      </w:pPr>
      <w:rPr>
        <w:rFonts w:cs="Times New Roman" w:hint="default"/>
        <w:b w:val="0"/>
        <w:u w:val="none"/>
      </w:rPr>
    </w:lvl>
    <w:lvl w:ilvl="2">
      <w:start w:val="1"/>
      <w:numFmt w:val="decimal"/>
      <w:lvlText w:val="%1.%2.%3."/>
      <w:lvlJc w:val="left"/>
      <w:pPr>
        <w:ind w:left="720" w:hanging="720"/>
      </w:pPr>
      <w:rPr>
        <w:rFonts w:cs="Times New Roman" w:hint="default"/>
        <w:b w:val="0"/>
        <w:u w:val="none"/>
      </w:rPr>
    </w:lvl>
    <w:lvl w:ilvl="3">
      <w:start w:val="1"/>
      <w:numFmt w:val="decimal"/>
      <w:lvlText w:val="%1.%2.%3.%4."/>
      <w:lvlJc w:val="left"/>
      <w:pPr>
        <w:ind w:left="720" w:hanging="720"/>
      </w:pPr>
      <w:rPr>
        <w:rFonts w:cs="Times New Roman" w:hint="default"/>
        <w:b w:val="0"/>
        <w:u w:val="none"/>
      </w:rPr>
    </w:lvl>
    <w:lvl w:ilvl="4">
      <w:start w:val="1"/>
      <w:numFmt w:val="decimal"/>
      <w:lvlText w:val="%1.%2.%3.%4.%5."/>
      <w:lvlJc w:val="left"/>
      <w:pPr>
        <w:ind w:left="1080" w:hanging="1080"/>
      </w:pPr>
      <w:rPr>
        <w:rFonts w:cs="Times New Roman" w:hint="default"/>
        <w:b w:val="0"/>
        <w:u w:val="none"/>
      </w:rPr>
    </w:lvl>
    <w:lvl w:ilvl="5">
      <w:start w:val="1"/>
      <w:numFmt w:val="decimal"/>
      <w:lvlText w:val="%1.%2.%3.%4.%5.%6."/>
      <w:lvlJc w:val="left"/>
      <w:pPr>
        <w:ind w:left="1080" w:hanging="1080"/>
      </w:pPr>
      <w:rPr>
        <w:rFonts w:cs="Times New Roman" w:hint="default"/>
        <w:b w:val="0"/>
        <w:u w:val="none"/>
      </w:rPr>
    </w:lvl>
    <w:lvl w:ilvl="6">
      <w:start w:val="1"/>
      <w:numFmt w:val="decimal"/>
      <w:lvlText w:val="%1.%2.%3.%4.%5.%6.%7."/>
      <w:lvlJc w:val="left"/>
      <w:pPr>
        <w:ind w:left="1440" w:hanging="1440"/>
      </w:pPr>
      <w:rPr>
        <w:rFonts w:cs="Times New Roman" w:hint="default"/>
        <w:b w:val="0"/>
        <w:u w:val="none"/>
      </w:rPr>
    </w:lvl>
    <w:lvl w:ilvl="7">
      <w:start w:val="1"/>
      <w:numFmt w:val="decimal"/>
      <w:lvlText w:val="%1.%2.%3.%4.%5.%6.%7.%8."/>
      <w:lvlJc w:val="left"/>
      <w:pPr>
        <w:ind w:left="1440" w:hanging="1440"/>
      </w:pPr>
      <w:rPr>
        <w:rFonts w:cs="Times New Roman" w:hint="default"/>
        <w:b w:val="0"/>
        <w:u w:val="none"/>
      </w:rPr>
    </w:lvl>
    <w:lvl w:ilvl="8">
      <w:start w:val="1"/>
      <w:numFmt w:val="decimal"/>
      <w:lvlText w:val="%1.%2.%3.%4.%5.%6.%7.%8.%9."/>
      <w:lvlJc w:val="left"/>
      <w:pPr>
        <w:ind w:left="1800" w:hanging="1800"/>
      </w:pPr>
      <w:rPr>
        <w:rFonts w:cs="Times New Roman" w:hint="default"/>
        <w:b w:val="0"/>
        <w:u w:val="none"/>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5121"/>
  </w:hdrShapeDefaults>
  <w:footnotePr>
    <w:footnote w:id="-1"/>
    <w:footnote w:id="0"/>
  </w:footnotePr>
  <w:endnotePr>
    <w:endnote w:id="-1"/>
    <w:endnote w:id="0"/>
  </w:endnotePr>
  <w:compat/>
  <w:rsids>
    <w:rsidRoot w:val="00ED5179"/>
    <w:rsid w:val="000F2444"/>
    <w:rsid w:val="0013773E"/>
    <w:rsid w:val="0014773E"/>
    <w:rsid w:val="00177D47"/>
    <w:rsid w:val="001A0F92"/>
    <w:rsid w:val="001D00C5"/>
    <w:rsid w:val="001F4538"/>
    <w:rsid w:val="0020622A"/>
    <w:rsid w:val="00234034"/>
    <w:rsid w:val="00256B0C"/>
    <w:rsid w:val="00281FF0"/>
    <w:rsid w:val="00295550"/>
    <w:rsid w:val="002961A3"/>
    <w:rsid w:val="002C1178"/>
    <w:rsid w:val="002E380E"/>
    <w:rsid w:val="00327A3D"/>
    <w:rsid w:val="00344ECE"/>
    <w:rsid w:val="00393849"/>
    <w:rsid w:val="003E35D7"/>
    <w:rsid w:val="003F6210"/>
    <w:rsid w:val="00404D3E"/>
    <w:rsid w:val="00427FD8"/>
    <w:rsid w:val="00452EE4"/>
    <w:rsid w:val="004A5434"/>
    <w:rsid w:val="005075BF"/>
    <w:rsid w:val="005264AF"/>
    <w:rsid w:val="00532988"/>
    <w:rsid w:val="00571AD6"/>
    <w:rsid w:val="00583FC3"/>
    <w:rsid w:val="005A2E89"/>
    <w:rsid w:val="005F64A9"/>
    <w:rsid w:val="005F75EB"/>
    <w:rsid w:val="006006C2"/>
    <w:rsid w:val="00670897"/>
    <w:rsid w:val="006779C0"/>
    <w:rsid w:val="006930E8"/>
    <w:rsid w:val="00703C89"/>
    <w:rsid w:val="00722E94"/>
    <w:rsid w:val="007404E0"/>
    <w:rsid w:val="00786860"/>
    <w:rsid w:val="007D2EC8"/>
    <w:rsid w:val="007D5A60"/>
    <w:rsid w:val="008048F0"/>
    <w:rsid w:val="00862A27"/>
    <w:rsid w:val="008659BF"/>
    <w:rsid w:val="0087471B"/>
    <w:rsid w:val="008C6482"/>
    <w:rsid w:val="008D43AA"/>
    <w:rsid w:val="008F0439"/>
    <w:rsid w:val="00924297"/>
    <w:rsid w:val="00935B2B"/>
    <w:rsid w:val="009361FE"/>
    <w:rsid w:val="00991087"/>
    <w:rsid w:val="009B0538"/>
    <w:rsid w:val="009C1CD2"/>
    <w:rsid w:val="009D1361"/>
    <w:rsid w:val="009E41D1"/>
    <w:rsid w:val="00A205EC"/>
    <w:rsid w:val="00A256E1"/>
    <w:rsid w:val="00A37F33"/>
    <w:rsid w:val="00A9242D"/>
    <w:rsid w:val="00AA4BD9"/>
    <w:rsid w:val="00AB7BF8"/>
    <w:rsid w:val="00AD3C90"/>
    <w:rsid w:val="00AD7518"/>
    <w:rsid w:val="00AD7624"/>
    <w:rsid w:val="00B469FC"/>
    <w:rsid w:val="00B93313"/>
    <w:rsid w:val="00B93973"/>
    <w:rsid w:val="00BD55F7"/>
    <w:rsid w:val="00BE0194"/>
    <w:rsid w:val="00BE719D"/>
    <w:rsid w:val="00BF2730"/>
    <w:rsid w:val="00BF581A"/>
    <w:rsid w:val="00C013E3"/>
    <w:rsid w:val="00C04BE2"/>
    <w:rsid w:val="00C05A55"/>
    <w:rsid w:val="00C11944"/>
    <w:rsid w:val="00C23E2C"/>
    <w:rsid w:val="00C35594"/>
    <w:rsid w:val="00C500FA"/>
    <w:rsid w:val="00C92822"/>
    <w:rsid w:val="00C93D3B"/>
    <w:rsid w:val="00C96FBD"/>
    <w:rsid w:val="00CD5906"/>
    <w:rsid w:val="00CE382D"/>
    <w:rsid w:val="00D10322"/>
    <w:rsid w:val="00D1244C"/>
    <w:rsid w:val="00D31C0A"/>
    <w:rsid w:val="00D501DA"/>
    <w:rsid w:val="00D702D9"/>
    <w:rsid w:val="00D75CE4"/>
    <w:rsid w:val="00DB732B"/>
    <w:rsid w:val="00DC4B60"/>
    <w:rsid w:val="00DD065C"/>
    <w:rsid w:val="00DD5873"/>
    <w:rsid w:val="00DF69E6"/>
    <w:rsid w:val="00E016B5"/>
    <w:rsid w:val="00E45350"/>
    <w:rsid w:val="00E55A1D"/>
    <w:rsid w:val="00E56A11"/>
    <w:rsid w:val="00E93506"/>
    <w:rsid w:val="00EA61D7"/>
    <w:rsid w:val="00EA6B67"/>
    <w:rsid w:val="00EC00F8"/>
    <w:rsid w:val="00ED2021"/>
    <w:rsid w:val="00ED5179"/>
    <w:rsid w:val="00F26DD0"/>
    <w:rsid w:val="00F30500"/>
    <w:rsid w:val="00F819A7"/>
    <w:rsid w:val="00FA131E"/>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73E"/>
    <w:rPr>
      <w:rFonts w:ascii="Times New Roman" w:hAnsi="Times New Roman" w:cs="Times New Roman"/>
      <w:sz w:val="24"/>
      <w:szCs w:val="22"/>
      <w:lang w:eastAsia="en-US"/>
    </w:rPr>
  </w:style>
  <w:style w:type="paragraph" w:styleId="Ttulo1">
    <w:name w:val="heading 1"/>
    <w:basedOn w:val="Normal"/>
    <w:next w:val="Normal"/>
    <w:link w:val="Ttulo1Char"/>
    <w:uiPriority w:val="9"/>
    <w:qFormat/>
    <w:rsid w:val="00BF2730"/>
    <w:pPr>
      <w:keepNext/>
      <w:keepLines/>
      <w:outlineLvl w:val="0"/>
    </w:pPr>
    <w:rPr>
      <w:b/>
      <w:bCs/>
      <w:color w:val="365F91"/>
      <w:szCs w:val="28"/>
    </w:rPr>
  </w:style>
  <w:style w:type="paragraph" w:styleId="Ttulo3">
    <w:name w:val="heading 3"/>
    <w:basedOn w:val="Normal"/>
    <w:next w:val="Normal"/>
    <w:link w:val="Ttulo3Char"/>
    <w:uiPriority w:val="9"/>
    <w:semiHidden/>
    <w:unhideWhenUsed/>
    <w:qFormat/>
    <w:rsid w:val="00E45350"/>
    <w:pPr>
      <w:keepNext/>
      <w:keepLines/>
      <w:spacing w:before="200"/>
      <w:outlineLvl w:val="2"/>
    </w:pPr>
    <w:rPr>
      <w:rFonts w:ascii="Cambria" w:hAnsi="Cambria"/>
      <w:b/>
      <w:bCs/>
      <w:color w:val="4F81BD"/>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3Char">
    <w:name w:val="Título 3 Char"/>
    <w:basedOn w:val="Fontepargpadro"/>
    <w:link w:val="Ttulo3"/>
    <w:uiPriority w:val="9"/>
    <w:semiHidden/>
    <w:locked/>
    <w:rsid w:val="00E45350"/>
    <w:rPr>
      <w:rFonts w:ascii="Cambria" w:eastAsia="Times New Roman" w:hAnsi="Cambria" w:cs="Times New Roman"/>
      <w:b/>
      <w:bCs/>
      <w:color w:val="4F81BD"/>
      <w:sz w:val="24"/>
    </w:rPr>
  </w:style>
  <w:style w:type="paragraph" w:styleId="Cabealho">
    <w:name w:val="header"/>
    <w:basedOn w:val="Normal"/>
    <w:link w:val="CabealhoChar"/>
    <w:uiPriority w:val="99"/>
    <w:semiHidden/>
    <w:unhideWhenUsed/>
    <w:rsid w:val="00ED5179"/>
    <w:pPr>
      <w:tabs>
        <w:tab w:val="center" w:pos="4252"/>
        <w:tab w:val="right" w:pos="8504"/>
      </w:tabs>
    </w:pPr>
  </w:style>
  <w:style w:type="character" w:customStyle="1" w:styleId="Ttulo1Char">
    <w:name w:val="Título 1 Char"/>
    <w:basedOn w:val="Fontepargpadro"/>
    <w:link w:val="Ttulo1"/>
    <w:uiPriority w:val="9"/>
    <w:locked/>
    <w:rsid w:val="00BF2730"/>
    <w:rPr>
      <w:rFonts w:ascii="Times New Roman" w:eastAsia="Times New Roman" w:hAnsi="Times New Roman" w:cs="Times New Roman"/>
      <w:b/>
      <w:bCs/>
      <w:color w:val="365F91"/>
      <w:sz w:val="28"/>
      <w:szCs w:val="28"/>
    </w:rPr>
  </w:style>
  <w:style w:type="paragraph" w:styleId="Rodap">
    <w:name w:val="footer"/>
    <w:basedOn w:val="Normal"/>
    <w:link w:val="RodapChar"/>
    <w:uiPriority w:val="99"/>
    <w:unhideWhenUsed/>
    <w:rsid w:val="00ED5179"/>
    <w:pPr>
      <w:tabs>
        <w:tab w:val="center" w:pos="4252"/>
        <w:tab w:val="right" w:pos="8504"/>
      </w:tabs>
    </w:pPr>
  </w:style>
  <w:style w:type="character" w:customStyle="1" w:styleId="CabealhoChar">
    <w:name w:val="Cabeçalho Char"/>
    <w:basedOn w:val="Fontepargpadro"/>
    <w:link w:val="Cabealho"/>
    <w:uiPriority w:val="99"/>
    <w:semiHidden/>
    <w:locked/>
    <w:rsid w:val="00ED5179"/>
    <w:rPr>
      <w:rFonts w:cs="Times New Roman"/>
    </w:rPr>
  </w:style>
  <w:style w:type="paragraph" w:styleId="Textodebalo">
    <w:name w:val="Balloon Text"/>
    <w:basedOn w:val="Normal"/>
    <w:link w:val="TextodebaloChar"/>
    <w:uiPriority w:val="99"/>
    <w:semiHidden/>
    <w:unhideWhenUsed/>
    <w:rsid w:val="00ED5179"/>
    <w:rPr>
      <w:rFonts w:ascii="Tahoma" w:hAnsi="Tahoma" w:cs="Tahoma"/>
      <w:sz w:val="16"/>
      <w:szCs w:val="16"/>
    </w:rPr>
  </w:style>
  <w:style w:type="character" w:customStyle="1" w:styleId="RodapChar">
    <w:name w:val="Rodapé Char"/>
    <w:basedOn w:val="Fontepargpadro"/>
    <w:link w:val="Rodap"/>
    <w:uiPriority w:val="99"/>
    <w:locked/>
    <w:rsid w:val="00ED5179"/>
    <w:rPr>
      <w:rFonts w:cs="Times New Roman"/>
    </w:rPr>
  </w:style>
  <w:style w:type="paragraph" w:customStyle="1" w:styleId="TCU-Epgrafe">
    <w:name w:val="TCU - Epígrafe"/>
    <w:basedOn w:val="Normal"/>
    <w:rsid w:val="00BF2730"/>
    <w:pPr>
      <w:ind w:left="2835"/>
      <w:jc w:val="both"/>
    </w:pPr>
    <w:rPr>
      <w:szCs w:val="20"/>
      <w:lang w:eastAsia="pt-BR"/>
    </w:rPr>
  </w:style>
  <w:style w:type="character" w:customStyle="1" w:styleId="TextodebaloChar">
    <w:name w:val="Texto de balão Char"/>
    <w:basedOn w:val="Fontepargpadro"/>
    <w:link w:val="Textodebalo"/>
    <w:uiPriority w:val="99"/>
    <w:semiHidden/>
    <w:locked/>
    <w:rsid w:val="00ED5179"/>
    <w:rPr>
      <w:rFonts w:ascii="Tahoma" w:hAnsi="Tahoma" w:cs="Tahoma"/>
      <w:sz w:val="16"/>
      <w:szCs w:val="16"/>
    </w:rPr>
  </w:style>
  <w:style w:type="paragraph" w:styleId="SemEspaamento">
    <w:name w:val="No Spacing"/>
    <w:uiPriority w:val="1"/>
    <w:qFormat/>
    <w:rsid w:val="00BF2730"/>
    <w:rPr>
      <w:rFonts w:ascii="Times New Roman" w:hAnsi="Times New Roman" w:cs="Times New Roman"/>
      <w:sz w:val="24"/>
      <w:szCs w:val="22"/>
      <w:lang w:eastAsia="en-US"/>
    </w:rPr>
  </w:style>
  <w:style w:type="paragraph" w:styleId="Ttulo">
    <w:name w:val="Title"/>
    <w:basedOn w:val="Normal"/>
    <w:next w:val="Normal"/>
    <w:link w:val="TtuloChar"/>
    <w:uiPriority w:val="10"/>
    <w:qFormat/>
    <w:rsid w:val="00BF2730"/>
    <w:pPr>
      <w:pBdr>
        <w:bottom w:val="single" w:sz="8" w:space="4" w:color="4F81BD"/>
      </w:pBdr>
      <w:contextualSpacing/>
    </w:pPr>
    <w:rPr>
      <w:color w:val="17365D"/>
      <w:spacing w:val="5"/>
      <w:kern w:val="28"/>
      <w:szCs w:val="52"/>
    </w:rPr>
  </w:style>
  <w:style w:type="paragraph" w:styleId="Subttulo">
    <w:name w:val="Subtitle"/>
    <w:basedOn w:val="Normal"/>
    <w:next w:val="Normal"/>
    <w:link w:val="SubttuloChar"/>
    <w:uiPriority w:val="11"/>
    <w:qFormat/>
    <w:rsid w:val="00BF2730"/>
    <w:pPr>
      <w:numPr>
        <w:ilvl w:val="1"/>
      </w:numPr>
    </w:pPr>
    <w:rPr>
      <w:i/>
      <w:iCs/>
      <w:color w:val="4F81BD"/>
      <w:spacing w:val="15"/>
      <w:szCs w:val="24"/>
    </w:rPr>
  </w:style>
  <w:style w:type="character" w:customStyle="1" w:styleId="TtuloChar">
    <w:name w:val="Título Char"/>
    <w:basedOn w:val="Fontepargpadro"/>
    <w:link w:val="Ttulo"/>
    <w:uiPriority w:val="10"/>
    <w:locked/>
    <w:rsid w:val="00BF2730"/>
    <w:rPr>
      <w:rFonts w:ascii="Times New Roman" w:eastAsia="Times New Roman" w:hAnsi="Times New Roman" w:cs="Times New Roman"/>
      <w:color w:val="17365D"/>
      <w:spacing w:val="5"/>
      <w:kern w:val="28"/>
      <w:sz w:val="52"/>
      <w:szCs w:val="52"/>
    </w:rPr>
  </w:style>
  <w:style w:type="paragraph" w:customStyle="1" w:styleId="TCU-Centralizado">
    <w:name w:val="TCU - Centralizado"/>
    <w:basedOn w:val="Normal"/>
    <w:qFormat/>
    <w:rsid w:val="009E41D1"/>
    <w:pPr>
      <w:jc w:val="center"/>
    </w:pPr>
    <w:rPr>
      <w:szCs w:val="24"/>
    </w:rPr>
  </w:style>
  <w:style w:type="character" w:customStyle="1" w:styleId="SubttuloChar">
    <w:name w:val="Subtítulo Char"/>
    <w:basedOn w:val="Fontepargpadro"/>
    <w:link w:val="Subttulo"/>
    <w:uiPriority w:val="11"/>
    <w:locked/>
    <w:rsid w:val="00BF2730"/>
    <w:rPr>
      <w:rFonts w:ascii="Times New Roman" w:eastAsia="Times New Roman" w:hAnsi="Times New Roman" w:cs="Times New Roman"/>
      <w:i/>
      <w:iCs/>
      <w:color w:val="4F81BD"/>
      <w:spacing w:val="15"/>
      <w:sz w:val="24"/>
      <w:szCs w:val="24"/>
    </w:rPr>
  </w:style>
  <w:style w:type="paragraph" w:customStyle="1" w:styleId="TCU-RelVoto-1">
    <w:name w:val="TCU - Rel/Voto - 1º §"/>
    <w:basedOn w:val="Normal"/>
    <w:qFormat/>
    <w:rsid w:val="009E41D1"/>
    <w:pPr>
      <w:spacing w:after="160"/>
      <w:ind w:firstLine="1134"/>
      <w:jc w:val="both"/>
    </w:pPr>
  </w:style>
  <w:style w:type="paragraph" w:customStyle="1" w:styleId="TCU-Ac-item9-">
    <w:name w:val="TCU - Ac - item 9 - §§"/>
    <w:basedOn w:val="TCU-RelVoto-1"/>
    <w:qFormat/>
    <w:rsid w:val="009E41D1"/>
    <w:pPr>
      <w:spacing w:after="0"/>
    </w:pPr>
  </w:style>
  <w:style w:type="paragraph" w:customStyle="1" w:styleId="TCU-RelVoto-demais">
    <w:name w:val="TCU - Rel/Voto - demais §§"/>
    <w:basedOn w:val="Normal"/>
    <w:qFormat/>
    <w:rsid w:val="009E41D1"/>
    <w:pPr>
      <w:tabs>
        <w:tab w:val="left" w:pos="1134"/>
      </w:tabs>
      <w:spacing w:after="160"/>
      <w:jc w:val="both"/>
    </w:pPr>
  </w:style>
  <w:style w:type="paragraph" w:customStyle="1" w:styleId="TCU-Ac-itens1a8">
    <w:name w:val="TCU -   Ac - itens 1 a 8"/>
    <w:basedOn w:val="TCU-RelVoto-demais"/>
    <w:qFormat/>
    <w:rsid w:val="009E41D1"/>
    <w:pPr>
      <w:spacing w:after="0"/>
    </w:pPr>
  </w:style>
  <w:style w:type="paragraph" w:customStyle="1" w:styleId="TCU-Sumrio">
    <w:name w:val="TCU - Sumário"/>
    <w:basedOn w:val="Normal"/>
    <w:qFormat/>
    <w:rsid w:val="009E41D1"/>
    <w:pPr>
      <w:ind w:left="5103"/>
      <w:jc w:val="both"/>
    </w:pPr>
    <w:rPr>
      <w:b/>
    </w:rPr>
  </w:style>
  <w:style w:type="paragraph" w:customStyle="1" w:styleId="TCU-Transcrio">
    <w:name w:val="TCU - Transcrição"/>
    <w:basedOn w:val="Normal"/>
    <w:qFormat/>
    <w:rsid w:val="009E41D1"/>
    <w:pPr>
      <w:spacing w:after="120"/>
      <w:ind w:left="284" w:firstLine="567"/>
      <w:jc w:val="both"/>
    </w:pPr>
    <w:rPr>
      <w:i/>
    </w:rPr>
  </w:style>
  <w:style w:type="paragraph" w:customStyle="1" w:styleId="TCU-Ac-item9-1Linha">
    <w:name w:val="TCU -  Ac - item 9 - 1ª Linha"/>
    <w:basedOn w:val="TCU-RelVoto-demais"/>
    <w:qFormat/>
    <w:rsid w:val="0013773E"/>
  </w:style>
  <w:style w:type="paragraph" w:customStyle="1" w:styleId="transcrio">
    <w:name w:val="transcrição"/>
    <w:basedOn w:val="Normal"/>
    <w:rsid w:val="00E45350"/>
    <w:pPr>
      <w:widowControl w:val="0"/>
      <w:tabs>
        <w:tab w:val="left" w:pos="900"/>
        <w:tab w:val="left" w:pos="1418"/>
        <w:tab w:val="left" w:pos="1800"/>
        <w:tab w:val="left" w:pos="2700"/>
        <w:tab w:val="left" w:pos="3600"/>
        <w:tab w:val="left" w:pos="4500"/>
        <w:tab w:val="left" w:pos="5400"/>
        <w:tab w:val="left" w:pos="6300"/>
        <w:tab w:val="left" w:pos="7200"/>
        <w:tab w:val="left" w:pos="8100"/>
        <w:tab w:val="left" w:pos="9000"/>
      </w:tabs>
      <w:spacing w:after="120"/>
      <w:ind w:left="2835" w:firstLine="1134"/>
      <w:jc w:val="both"/>
    </w:pPr>
    <w:rPr>
      <w:i/>
      <w:szCs w:val="20"/>
      <w:lang w:eastAsia="pt-BR"/>
    </w:rPr>
  </w:style>
  <w:style w:type="paragraph" w:customStyle="1" w:styleId="Introduo">
    <w:name w:val="Introdução"/>
    <w:basedOn w:val="Normal"/>
    <w:rsid w:val="00E45350"/>
    <w:pPr>
      <w:spacing w:after="240"/>
      <w:jc w:val="both"/>
    </w:pPr>
    <w:rPr>
      <w:b/>
      <w:szCs w:val="20"/>
      <w:lang w:eastAsia="pt-BR"/>
    </w:rPr>
  </w:style>
  <w:style w:type="paragraph" w:customStyle="1" w:styleId="Fechamento">
    <w:name w:val="Fechamento"/>
    <w:basedOn w:val="Normal"/>
    <w:rsid w:val="00E45350"/>
    <w:pPr>
      <w:tabs>
        <w:tab w:val="left" w:pos="1418"/>
      </w:tabs>
      <w:jc w:val="center"/>
    </w:pPr>
    <w:rPr>
      <w:szCs w:val="20"/>
      <w:lang w:eastAsia="pt-BR"/>
    </w:rPr>
  </w:style>
  <w:style w:type="paragraph" w:customStyle="1" w:styleId="TCU-SemRecuo">
    <w:name w:val="TCU - Sem Recuo"/>
    <w:basedOn w:val="Normal"/>
    <w:rsid w:val="00E45350"/>
    <w:pPr>
      <w:tabs>
        <w:tab w:val="left" w:pos="1134"/>
      </w:tabs>
      <w:spacing w:after="160"/>
      <w:jc w:val="both"/>
    </w:pPr>
    <w:rPr>
      <w:szCs w:val="20"/>
      <w:lang w:eastAsia="pt-BR"/>
    </w:rPr>
  </w:style>
  <w:style w:type="paragraph" w:customStyle="1" w:styleId="Corpo">
    <w:name w:val="Corpo"/>
    <w:basedOn w:val="Normal"/>
    <w:rsid w:val="007D5A60"/>
    <w:pPr>
      <w:tabs>
        <w:tab w:val="left" w:pos="2268"/>
      </w:tabs>
      <w:spacing w:before="284"/>
      <w:ind w:firstLine="1418"/>
      <w:jc w:val="both"/>
    </w:pPr>
    <w:rPr>
      <w:szCs w:val="20"/>
      <w:lang w:eastAsia="pt-BR"/>
    </w:rPr>
  </w:style>
  <w:style w:type="paragraph" w:styleId="Recuodecorpodetexto3">
    <w:name w:val="Body Text Indent 3"/>
    <w:basedOn w:val="Normal"/>
    <w:link w:val="Recuodecorpodetexto3Char"/>
    <w:uiPriority w:val="99"/>
    <w:semiHidden/>
    <w:rsid w:val="00A256E1"/>
    <w:pPr>
      <w:ind w:left="709"/>
      <w:jc w:val="both"/>
    </w:pPr>
    <w:rPr>
      <w:szCs w:val="20"/>
      <w:lang w:eastAsia="pt-BR"/>
    </w:rPr>
  </w:style>
  <w:style w:type="paragraph" w:styleId="Corpodetexto">
    <w:name w:val="Body Text"/>
    <w:basedOn w:val="Normal"/>
    <w:link w:val="CorpodetextoChar"/>
    <w:uiPriority w:val="99"/>
    <w:semiHidden/>
    <w:rsid w:val="0087471B"/>
    <w:pPr>
      <w:jc w:val="both"/>
    </w:pPr>
    <w:rPr>
      <w:szCs w:val="20"/>
      <w:lang w:eastAsia="pt-BR"/>
    </w:rPr>
  </w:style>
  <w:style w:type="character" w:customStyle="1" w:styleId="Recuodecorpodetexto3Char">
    <w:name w:val="Recuo de corpo de texto 3 Char"/>
    <w:basedOn w:val="Fontepargpadro"/>
    <w:link w:val="Recuodecorpodetexto3"/>
    <w:uiPriority w:val="99"/>
    <w:semiHidden/>
    <w:locked/>
    <w:rsid w:val="00A256E1"/>
    <w:rPr>
      <w:rFonts w:ascii="Times New Roman" w:hAnsi="Times New Roman" w:cs="Times New Roman"/>
      <w:sz w:val="20"/>
      <w:szCs w:val="20"/>
      <w:lang w:eastAsia="pt-BR"/>
    </w:rPr>
  </w:style>
  <w:style w:type="character" w:customStyle="1" w:styleId="CorpodetextoChar">
    <w:name w:val="Corpo de texto Char"/>
    <w:basedOn w:val="Fontepargpadro"/>
    <w:link w:val="Corpodetexto"/>
    <w:uiPriority w:val="99"/>
    <w:semiHidden/>
    <w:rsid w:val="0087471B"/>
    <w:rPr>
      <w:rFonts w:ascii="Times New Roman" w:hAnsi="Times New Roman" w:cs="Times New Roman"/>
      <w:sz w:val="24"/>
      <w:szCs w:val="20"/>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javascript:LinkTexto('LEI','00008666','000','1993','NI','A','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DF7C02-C1BD-490F-859F-11ECD124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5191</Words>
  <Characters>28886</Characters>
  <Application>Microsoft Office Word</Application>
  <DocSecurity>0</DocSecurity>
  <Lines>240</Lines>
  <Paragraphs>68</Paragraphs>
  <ScaleCrop>false</ScaleCrop>
  <HeadingPairs>
    <vt:vector size="2" baseType="variant">
      <vt:variant>
        <vt:lpstr>Title</vt:lpstr>
      </vt:variant>
      <vt:variant>
        <vt:i4>1</vt:i4>
      </vt:variant>
    </vt:vector>
  </HeadingPairs>
  <TitlesOfParts>
    <vt:vector size="1" baseType="lpstr">
      <vt:lpstr/>
    </vt:vector>
  </TitlesOfParts>
  <Company>TCU</Company>
  <LinksUpToDate>false</LinksUpToDate>
  <CharactersWithSpaces>34009</CharactersWithSpaces>
  <SharedDoc>false</SharedDoc>
  <HLinks>
    <vt:vector size="6" baseType="variant">
      <vt:variant>
        <vt:i4>6291507</vt:i4>
      </vt:variant>
      <vt:variant>
        <vt:i4>0</vt:i4>
      </vt:variant>
      <vt:variant>
        <vt:i4>0</vt:i4>
      </vt:variant>
      <vt:variant>
        <vt:i4>5</vt:i4>
      </vt:variant>
      <vt:variant>
        <vt:lpwstr>javascript:LinkTexto('LEI','00008666','000','1993','NI','A','6','')</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TCSC</dc:creator>
  <cp:lastModifiedBy>TCSC</cp:lastModifiedBy>
  <cp:revision>2</cp:revision>
  <cp:lastPrinted>2011-12-07T20:05:00Z</cp:lastPrinted>
  <dcterms:created xsi:type="dcterms:W3CDTF">2011-12-07T20:05:00Z</dcterms:created>
  <dcterms:modified xsi:type="dcterms:W3CDTF">2011-12-07T20:05:00Z</dcterms:modified>
</cp:coreProperties>
</file>