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018" w:rsidRPr="00590CA3" w:rsidRDefault="0049060C" w:rsidP="00633EA3">
      <w:pPr>
        <w:pStyle w:val="Ttulo"/>
        <w:spacing w:before="120" w:after="240"/>
        <w:jc w:val="center"/>
        <w:rPr>
          <w:rFonts w:ascii="Arial" w:hAnsi="Arial" w:cs="Arial"/>
          <w:sz w:val="96"/>
        </w:rPr>
      </w:pPr>
      <w:r w:rsidRPr="00590CA3">
        <w:rPr>
          <w:rFonts w:ascii="Arial" w:hAnsi="Arial" w:cs="Arial"/>
          <w:sz w:val="96"/>
        </w:rPr>
        <w:t>Informativos TCU</w:t>
      </w:r>
    </w:p>
    <w:p w:rsidR="0049060C" w:rsidRPr="00590CA3" w:rsidRDefault="0049060C" w:rsidP="00633EA3">
      <w:pPr>
        <w:spacing w:before="120" w:after="240" w:line="240" w:lineRule="auto"/>
        <w:rPr>
          <w:rFonts w:ascii="Arial" w:hAnsi="Arial" w:cs="Arial"/>
        </w:rPr>
      </w:pPr>
    </w:p>
    <w:p w:rsidR="0049060C" w:rsidRPr="00590CA3" w:rsidRDefault="0049060C" w:rsidP="00633EA3">
      <w:pPr>
        <w:spacing w:before="120" w:after="240" w:line="240" w:lineRule="auto"/>
        <w:jc w:val="center"/>
        <w:rPr>
          <w:rFonts w:ascii="Arial" w:hAnsi="Arial" w:cs="Arial"/>
          <w:b/>
          <w:sz w:val="32"/>
        </w:rPr>
      </w:pPr>
      <w:r w:rsidRPr="00590CA3">
        <w:rPr>
          <w:rFonts w:ascii="Arial" w:hAnsi="Arial" w:cs="Arial"/>
          <w:b/>
          <w:sz w:val="32"/>
        </w:rPr>
        <w:t>1.</w:t>
      </w: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t>Identificação de sobrepreço em encargos sociais constantes do orçamento de obra cuja licitação foi concluída e o respectivo contrato assinado</w:t>
      </w:r>
    </w:p>
    <w:p w:rsidR="0049060C" w:rsidRPr="00590CA3" w:rsidRDefault="0049060C" w:rsidP="001522A7">
      <w:pPr>
        <w:spacing w:before="120" w:after="240" w:line="360" w:lineRule="auto"/>
        <w:jc w:val="both"/>
        <w:rPr>
          <w:rFonts w:ascii="Arial" w:hAnsi="Arial" w:cs="Arial"/>
          <w:sz w:val="24"/>
        </w:rPr>
      </w:pPr>
      <w:r w:rsidRPr="00590CA3">
        <w:rPr>
          <w:rFonts w:ascii="Arial" w:eastAsia="Calibri" w:hAnsi="Arial" w:cs="Arial"/>
          <w:sz w:val="24"/>
        </w:rPr>
        <w:t xml:space="preserve">Levantamento de auditoria realizado na Secretaria Especial de Portos da Presidência da República (SEP/PR), tendo por objeto as obras de dragagem e adequação em portos marítimos, identificou irregularidade atinente à superestimativa de encargos sociais em orçamentos de obras de dragagem. Considerando que o sobrepreço apontado foi da ordem de apenas 3%, e que as contratadas sobre ele ainda não haviam se manifestado, e ainda diante da inexistência de um sistema oficial de custos para os serviços de dragagem, deliberou o Plenário, acompanhando o voto do relator, no sentido de permitir que a SEP/PR mantivesse, com relação aos contratos em andamento, os percentuais de encargos sociais cotados pelas licitantes vencedoras, sem </w:t>
      </w:r>
      <w:r w:rsidRPr="0093109F">
        <w:rPr>
          <w:rFonts w:ascii="Arial" w:eastAsia="Calibri" w:hAnsi="Arial" w:cs="Arial"/>
          <w:b/>
          <w:sz w:val="28"/>
        </w:rPr>
        <w:t>prejuízo de futuros questionamentos por parte do Tribunal. Além disso, foi</w:t>
      </w:r>
      <w:r w:rsidRPr="00590CA3">
        <w:rPr>
          <w:rFonts w:ascii="Arial" w:eastAsia="Calibri" w:hAnsi="Arial" w:cs="Arial"/>
          <w:sz w:val="24"/>
        </w:rPr>
        <w:t xml:space="preserve"> determinado à SEP/PR que nas próximas concorrências internacionais destinadas a obras de dragagem e adequação dos portos marítimos brasileiros, ajuste a alíquota de ISSQN à legislação tributária específica da localidade de realização dos serviços. </w:t>
      </w:r>
      <w:r w:rsidRPr="00590CA3">
        <w:rPr>
          <w:rFonts w:ascii="Arial" w:eastAsia="Calibri" w:hAnsi="Arial" w:cs="Arial"/>
          <w:b/>
          <w:i/>
          <w:sz w:val="24"/>
        </w:rPr>
        <w:t>Acórdão n.º 29/2010-Plenário, TC-005.788/2009-4, rel. Min. Aroldo Cedraz, 20.01.2010</w:t>
      </w:r>
    </w:p>
    <w:p w:rsidR="0049060C" w:rsidRPr="00590CA3" w:rsidRDefault="0049060C" w:rsidP="00633EA3">
      <w:pPr>
        <w:spacing w:before="120" w:after="240" w:line="240" w:lineRule="auto"/>
        <w:rPr>
          <w:rFonts w:ascii="Arial" w:hAnsi="Arial" w:cs="Arial"/>
          <w:sz w:val="24"/>
        </w:rPr>
      </w:pPr>
    </w:p>
    <w:p w:rsidR="0049060C" w:rsidRPr="00590CA3" w:rsidRDefault="0049060C" w:rsidP="00633EA3">
      <w:pPr>
        <w:spacing w:before="120" w:after="240" w:line="240" w:lineRule="auto"/>
        <w:jc w:val="center"/>
        <w:rPr>
          <w:rFonts w:ascii="Arial" w:hAnsi="Arial" w:cs="Arial"/>
          <w:b/>
          <w:sz w:val="32"/>
        </w:rPr>
      </w:pPr>
      <w:r w:rsidRPr="00590CA3">
        <w:rPr>
          <w:rFonts w:ascii="Arial" w:hAnsi="Arial" w:cs="Arial"/>
          <w:b/>
          <w:sz w:val="32"/>
        </w:rPr>
        <w:t>2.</w:t>
      </w: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t>Projeto básico deficiente e elaboração do projeto executivo como atribuição do licitante</w:t>
      </w:r>
    </w:p>
    <w:p w:rsidR="0049060C" w:rsidRPr="00590CA3" w:rsidRDefault="0049060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O projeto executivo constitui-se em detalhamento do projeto básico, determinando, de forma minuciosa, as condições de execução. É dizer, trata-se de etapa complementar, não havendo sentido que seja deixada a cargo do </w:t>
      </w:r>
      <w:r w:rsidRPr="00590CA3">
        <w:rPr>
          <w:rFonts w:ascii="Arial" w:eastAsia="Calibri" w:hAnsi="Arial" w:cs="Arial"/>
          <w:sz w:val="24"/>
        </w:rPr>
        <w:lastRenderedPageBreak/>
        <w:t xml:space="preserve">projeto executivo a definição de itens essenciais da obra. Com base nesse entendimento, o Plenário fixou prazo para o 4º Centro Integrado de Defesa Aérea e Controle de Tráfego Aéreo (CINDACTA IV) adotar as medidas necessárias à anulação da Concorrência n.º 001/2009, que tinha por objeto a construção do novo prédio de comando do órgão. A decisão foi tomada em processo de representação formulada ao TCU contra cláusula editalícia que exigia que os licitantes apresentassem, junto com a proposta de preços, o projeto executivo da obra, em afronta ao art. 9º, § 2º, da Lei n.º 8.666/93, o qual faculta a exigência de projeto executivo somente do contratado. Chamados aos autos, os gestores do CINDACTA IV defenderam que a exigência de apresentação do projeto executivo, juntamente com a proposta de preços, justificar-se-ia pelo fato de tratar-se, em verdade, de projeto executivo complementar, a englobar a construção de estruturas (vigas, pilares e fundações) e das instalações de água, esgoto, pára-raios, telefone, contra-incêndio e elétrica. O relator concluiu que os elementos integrantes do chamado projeto executivo complementar deveriam ter constado do projeto básico da obra, por serem itens necessários e suficientes para caracterizar o empreendimento, conforme previsto no art. 6º, IX, da Lei n.º 8.666/1993. Ao final, ressaltou o relator que a apresentação desses elementos posteriormente à licitação poderia provocar significativo incremento de custo, com o risco de tornar o empreendimento inviável do ponto de vista orçamentário-financeiro. Além da anulação do certame, o Plenário também determinou ao CINDACTA IV que caso entenda oportuno lançar novo procedimento licitatório, </w:t>
      </w:r>
      <w:bookmarkStart w:id="0" w:name="Hit3"/>
      <w:r w:rsidRPr="00590CA3">
        <w:rPr>
          <w:rFonts w:ascii="Arial" w:eastAsia="Calibri" w:hAnsi="Arial" w:cs="Arial"/>
          <w:sz w:val="24"/>
        </w:rPr>
        <w:t>abstenha-se</w:t>
      </w:r>
      <w:bookmarkEnd w:id="0"/>
      <w:r w:rsidRPr="00590CA3">
        <w:rPr>
          <w:rFonts w:ascii="Arial" w:eastAsia="Calibri" w:hAnsi="Arial" w:cs="Arial"/>
          <w:sz w:val="24"/>
        </w:rPr>
        <w:t xml:space="preserve"> de deixar para o </w:t>
      </w:r>
      <w:bookmarkStart w:id="1" w:name="Hit4"/>
      <w:r w:rsidRPr="00590CA3">
        <w:rPr>
          <w:rFonts w:ascii="Arial" w:eastAsia="Calibri" w:hAnsi="Arial" w:cs="Arial"/>
          <w:sz w:val="24"/>
        </w:rPr>
        <w:t>projeto executivo</w:t>
      </w:r>
      <w:bookmarkEnd w:id="1"/>
      <w:r w:rsidRPr="00590CA3">
        <w:rPr>
          <w:rFonts w:ascii="Arial" w:eastAsia="Calibri" w:hAnsi="Arial" w:cs="Arial"/>
          <w:sz w:val="24"/>
        </w:rPr>
        <w:t xml:space="preserve"> o papel de identificar os elementos necessários e suficientes à caracterização dos serviços da obra a ser executada, especificando-os de modo que fiquem devidamente caracterizados por meio de um projeto básico adequado.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2.640/2007, 628/2008, 1.874/2007, 925/2006, 1.523/2005 e 1.461/2003, todos do Plenário. </w:t>
      </w:r>
      <w:r w:rsidRPr="00590CA3">
        <w:rPr>
          <w:rFonts w:ascii="Arial" w:eastAsia="Calibri" w:hAnsi="Arial" w:cs="Arial"/>
          <w:b/>
          <w:i/>
          <w:sz w:val="24"/>
        </w:rPr>
        <w:t>Acórdão n.º 80/2010-Plenário, TC-025.219/2009-7, rel. Min-Subst. Marcos Bemquerer Costa, 27.01.2010</w:t>
      </w:r>
      <w:r w:rsidRPr="00590CA3">
        <w:rPr>
          <w:rFonts w:ascii="Arial" w:eastAsia="Calibri" w:hAnsi="Arial" w:cs="Arial"/>
          <w:sz w:val="24"/>
        </w:rPr>
        <w:t>.</w:t>
      </w:r>
    </w:p>
    <w:p w:rsidR="0049060C" w:rsidRPr="00590CA3" w:rsidRDefault="0049060C" w:rsidP="00633EA3">
      <w:pPr>
        <w:spacing w:before="120" w:after="240" w:line="240" w:lineRule="auto"/>
        <w:jc w:val="both"/>
        <w:rPr>
          <w:rFonts w:ascii="Arial" w:eastAsia="Calibri" w:hAnsi="Arial" w:cs="Arial"/>
          <w:sz w:val="24"/>
        </w:rPr>
      </w:pP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t>Cotação, na planilha de preços das licitantes, de diversos itens por meio da rubrica “verba” (vb) como unidade de medida</w:t>
      </w:r>
    </w:p>
    <w:p w:rsidR="0049060C" w:rsidRPr="00590CA3" w:rsidRDefault="0049060C" w:rsidP="001522A7">
      <w:pPr>
        <w:spacing w:before="120" w:after="240" w:line="360" w:lineRule="auto"/>
        <w:jc w:val="both"/>
        <w:rPr>
          <w:rFonts w:ascii="Arial" w:hAnsi="Arial" w:cs="Arial"/>
          <w:sz w:val="24"/>
        </w:rPr>
      </w:pPr>
      <w:r w:rsidRPr="00590CA3">
        <w:rPr>
          <w:rFonts w:ascii="Arial" w:eastAsia="Calibri" w:hAnsi="Arial" w:cs="Arial"/>
          <w:sz w:val="24"/>
        </w:rPr>
        <w:lastRenderedPageBreak/>
        <w:t>Outro problema identificado no âmbito da Concorrência n.º 001/CINDACTA IV/2009 foi o fato de as planilhas orçamentárias das licitantes apresentarem cotação de diversos itens com a rubrica “Verba” (Vb) como unidade de medida. Esse fato, por impossibilitar a mensuração do custo unitário dos produtos, vai de encontro ao disposto nos arts. 6º, IX, “f”, e 7º, § 2º, II, e § 4º, da Lei n.º 8.666/93. Não por outro motivo, ressaltou o relator, a jurisprudência do Tribunal considera tal prática ilegal. Enfatizou ainda em sua proposta de deliberação que apesar de admitida a orçamentação por verba, ela só deve ser aplicada quando não há como se definir unidades, aferir quantitativos de consumos de materiais e de utilização de mão de obra e equipamentos, ou ainda quando o serviço é praticamente imensurável. O relator considerou que, no caso concreto, os itens cotados por meio de “Verba” – Tubos, Conexões e Caixas de Inspeção, Instalações Elétricas Prediais e Instalações de Lógica e Telefone – eram perfeitamente quantificáveis, sendo irregular, portanto, a mensuração daquela forma. Acolhendo manifestação do relator, deliberou o Plenário no sentido de exarar determinação ao CINDACTA IV para que observe o disposto no art. 7º, § 2º, II, da Lei n.º 8.666/1993, exigindo que o orçamento-base e as propostas das licitantes contenham o devido detalhamento dos elementos, com composições de custos unitários que especifiquem os materiais utilizados, mão de obra e equipamentos empregados. Precedentes citados: Decisões n.</w:t>
      </w:r>
      <w:r w:rsidRPr="00590CA3">
        <w:rPr>
          <w:rFonts w:ascii="Arial" w:eastAsia="Calibri" w:hAnsi="Arial" w:cs="Arial"/>
          <w:sz w:val="24"/>
          <w:vertAlign w:val="superscript"/>
        </w:rPr>
        <w:t>os</w:t>
      </w:r>
      <w:r w:rsidRPr="00590CA3">
        <w:rPr>
          <w:rFonts w:ascii="Arial" w:eastAsia="Calibri" w:hAnsi="Arial" w:cs="Arial"/>
          <w:sz w:val="24"/>
        </w:rPr>
        <w:t xml:space="preserve"> 615/2001 e 822/2002, ambas do Plenário, Acórdãos n.</w:t>
      </w:r>
      <w:r w:rsidRPr="00590CA3">
        <w:rPr>
          <w:rFonts w:ascii="Arial" w:eastAsia="Calibri" w:hAnsi="Arial" w:cs="Arial"/>
          <w:sz w:val="24"/>
          <w:vertAlign w:val="superscript"/>
        </w:rPr>
        <w:t>os</w:t>
      </w:r>
      <w:r w:rsidRPr="00590CA3">
        <w:rPr>
          <w:rFonts w:ascii="Arial" w:eastAsia="Calibri" w:hAnsi="Arial" w:cs="Arial"/>
          <w:sz w:val="24"/>
        </w:rPr>
        <w:t xml:space="preserve"> 1.588/2003-1ª Câmara, e 1.091/2007, 3.086/2008, 93/2009, todos do Plenário. </w:t>
      </w:r>
      <w:r w:rsidRPr="00590CA3">
        <w:rPr>
          <w:rFonts w:ascii="Arial" w:eastAsia="Calibri" w:hAnsi="Arial" w:cs="Arial"/>
          <w:b/>
          <w:i/>
          <w:sz w:val="24"/>
        </w:rPr>
        <w:t>Acórdão n.º 80/2010-Plenário, TC-025.219/2009-7, rel. Min-Subst. Marcos Bemquerer Costa, 27.01.2010</w:t>
      </w:r>
      <w:r w:rsidRPr="00590CA3">
        <w:rPr>
          <w:rFonts w:ascii="Arial" w:eastAsia="Calibri" w:hAnsi="Arial" w:cs="Arial"/>
          <w:sz w:val="24"/>
        </w:rPr>
        <w:t>.</w:t>
      </w:r>
    </w:p>
    <w:p w:rsidR="0049060C" w:rsidRPr="00590CA3" w:rsidRDefault="0049060C" w:rsidP="00633EA3">
      <w:pPr>
        <w:spacing w:before="120" w:after="240" w:line="240" w:lineRule="auto"/>
        <w:jc w:val="center"/>
        <w:rPr>
          <w:rFonts w:ascii="Arial" w:hAnsi="Arial" w:cs="Arial"/>
          <w:b/>
          <w:sz w:val="32"/>
        </w:rPr>
      </w:pPr>
      <w:r w:rsidRPr="00590CA3">
        <w:rPr>
          <w:rFonts w:ascii="Arial" w:hAnsi="Arial" w:cs="Arial"/>
          <w:b/>
          <w:sz w:val="32"/>
        </w:rPr>
        <w:t>3.</w:t>
      </w: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t>Composição do BDI</w:t>
      </w:r>
    </w:p>
    <w:p w:rsidR="0049060C" w:rsidRPr="00590CA3" w:rsidRDefault="0049060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Representação oferecida ao TCU levantou supostas irregularidades em convênio celebrado entre o Departamento Nacional de Infra-Estrutura de Transportes (Dnit) e o Município de Maringá/PR. Em consequência, foi realizada inspeção na Superintendência Regional do Dnit no Estado do Paraná, tendo sido apontado sobrepreço no orçamento e nos contratos celebrados, relacionados à elaboração de projetos e à execução das obras do </w:t>
      </w:r>
      <w:r w:rsidRPr="00590CA3">
        <w:rPr>
          <w:rFonts w:ascii="Arial" w:eastAsia="Calibri" w:hAnsi="Arial" w:cs="Arial"/>
          <w:sz w:val="24"/>
        </w:rPr>
        <w:lastRenderedPageBreak/>
        <w:t xml:space="preserve">prolongamento do rebaixamento da linha férrea da cidade de Maringá/PR. Especificamente quanto ao BDI adotado, constatou-se a existência de parcelas indevidas em sua composição, em desacordo com a jurisprudência do Tribunal, a saber: (i) administração local, instalação de canteiro e acampamento, e mobilização e desmobilização; (ii) parcela a título de CSLL (Contribuição Social sobre o Lucro Líquido); e (iii) equipamentos de pequeno porte, ferramentas, e equipamentos de proteção individual (EPI’s). Em sede de cognição sumária, identificou o relator a presença dos requisitos do </w:t>
      </w:r>
      <w:r w:rsidRPr="00590CA3">
        <w:rPr>
          <w:rFonts w:ascii="Arial" w:eastAsia="Calibri" w:hAnsi="Arial" w:cs="Arial"/>
          <w:b/>
          <w:bCs/>
          <w:sz w:val="24"/>
        </w:rPr>
        <w:t>fumus boni juris</w:t>
      </w:r>
      <w:r w:rsidRPr="00590CA3">
        <w:rPr>
          <w:rFonts w:ascii="Arial" w:eastAsia="Calibri" w:hAnsi="Arial" w:cs="Arial"/>
          <w:sz w:val="24"/>
        </w:rPr>
        <w:t xml:space="preserve"> e do </w:t>
      </w:r>
      <w:r w:rsidRPr="00590CA3">
        <w:rPr>
          <w:rFonts w:ascii="Arial" w:eastAsia="Calibri" w:hAnsi="Arial" w:cs="Arial"/>
          <w:b/>
          <w:bCs/>
          <w:sz w:val="24"/>
        </w:rPr>
        <w:t xml:space="preserve">periculum in mora </w:t>
      </w:r>
      <w:r w:rsidRPr="00590CA3">
        <w:rPr>
          <w:rFonts w:ascii="Arial" w:eastAsia="Calibri" w:hAnsi="Arial" w:cs="Arial"/>
          <w:bCs/>
          <w:sz w:val="24"/>
        </w:rPr>
        <w:t>para o provimento cautelar</w:t>
      </w:r>
      <w:r w:rsidRPr="00590CA3">
        <w:rPr>
          <w:rFonts w:ascii="Arial" w:eastAsia="Calibri" w:hAnsi="Arial" w:cs="Arial"/>
          <w:sz w:val="24"/>
        </w:rPr>
        <w:t xml:space="preserve">, </w:t>
      </w:r>
      <w:r w:rsidRPr="00590CA3">
        <w:rPr>
          <w:rFonts w:ascii="Arial" w:eastAsia="Calibri" w:hAnsi="Arial" w:cs="Arial"/>
          <w:i/>
          <w:sz w:val="24"/>
        </w:rPr>
        <w:t>“de modo a prevenir a continuidade de possíveis prejuízos aos cofres públicos, pelo pagamento de serviços com preços supostamente acima dos de mercado”</w:t>
      </w:r>
      <w:r w:rsidRPr="00590CA3">
        <w:rPr>
          <w:rFonts w:ascii="Arial" w:eastAsia="Calibri" w:hAnsi="Arial" w:cs="Arial"/>
          <w:sz w:val="24"/>
        </w:rPr>
        <w:t xml:space="preserve">. Nesse sentido, o Plenário, acolhendo proposição do relator, determinou ao Dnit que, até ulterior deliberação do TCU, se abstenha de repassar recursos ao Município de Maringá/PR no âmbito do referido convênio. Exarou-se também determinação àquela municipalidade para que se abstenha de efetuar pagamentos referentes aos contratos celebrados, com recursos federais, até que o TCU se manifeste sobre o mérito da matéria. Por fim, decidiu o Plenário informar ao Dnit e à Prefeitura Municipal de Maringá/PR que, alternativamente à suspensão dos repasses financeiros e dos pagamentos deles decorrentes, </w:t>
      </w:r>
      <w:r w:rsidRPr="00590CA3">
        <w:rPr>
          <w:rFonts w:ascii="Arial" w:eastAsia="Calibri" w:hAnsi="Arial" w:cs="Arial"/>
          <w:i/>
          <w:sz w:val="24"/>
        </w:rPr>
        <w:t>“poder-se-á converter a solução de continuidade dos empreendimentos em reforço das garantias prestadas aos contratos, as quais ficarão retidas até posterior ordem de liberação por esta Corte, devendo-se informar ainda que, caso seja do interesse das empresas contratadas, poderão ser aceitas, em substituição às retenções cautelares dos valores apurados como sobrepreço, as garantias previstas no art. 56, § 1º, da Lei n.º 8.666/93”</w:t>
      </w:r>
      <w:r w:rsidRPr="00590CA3">
        <w:rPr>
          <w:rFonts w:ascii="Arial" w:eastAsia="Calibri" w:hAnsi="Arial" w:cs="Arial"/>
          <w:sz w:val="24"/>
        </w:rPr>
        <w:t>, para assegurar o resultado da apuração em curso no TCU acerca de eventual dano ao erário.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1.596/2006, 325/2007 e 2.469/2007, todos do Plenário. </w:t>
      </w:r>
      <w:r w:rsidRPr="00590CA3">
        <w:rPr>
          <w:rFonts w:ascii="Arial" w:eastAsia="Calibri" w:hAnsi="Arial" w:cs="Arial"/>
          <w:b/>
          <w:i/>
          <w:sz w:val="24"/>
        </w:rPr>
        <w:t>Acórdão n.º 189/2010-Plenário, TC-000.543/2008-0, rel. Min-Subst. André Luís de Carvalho, 10.02.2010</w:t>
      </w:r>
      <w:r w:rsidRPr="00590CA3">
        <w:rPr>
          <w:rFonts w:ascii="Arial" w:eastAsia="Calibri" w:hAnsi="Arial" w:cs="Arial"/>
          <w:sz w:val="24"/>
        </w:rPr>
        <w:t>.</w:t>
      </w:r>
    </w:p>
    <w:p w:rsidR="0049060C" w:rsidRPr="00590CA3" w:rsidRDefault="0049060C" w:rsidP="00633EA3">
      <w:pPr>
        <w:spacing w:before="120" w:after="240" w:line="240" w:lineRule="auto"/>
        <w:rPr>
          <w:rFonts w:ascii="Arial" w:eastAsia="Calibri" w:hAnsi="Arial" w:cs="Arial"/>
          <w:sz w:val="24"/>
        </w:rPr>
      </w:pP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t>Possibilidade de incluir, no mesmo objeto, a elaboração do projeto de engenharia e a prestação dos serviços de supervisão</w:t>
      </w:r>
    </w:p>
    <w:p w:rsidR="0049060C" w:rsidRPr="00590CA3" w:rsidRDefault="0049060C" w:rsidP="001522A7">
      <w:pPr>
        <w:spacing w:before="120" w:after="240" w:line="360" w:lineRule="auto"/>
        <w:jc w:val="both"/>
        <w:rPr>
          <w:rFonts w:ascii="Arial" w:eastAsia="Calibri" w:hAnsi="Arial" w:cs="Arial"/>
          <w:sz w:val="24"/>
        </w:rPr>
      </w:pPr>
      <w:r w:rsidRPr="00590CA3">
        <w:rPr>
          <w:rFonts w:ascii="Arial" w:eastAsia="Calibri" w:hAnsi="Arial" w:cs="Arial"/>
          <w:sz w:val="24"/>
        </w:rPr>
        <w:lastRenderedPageBreak/>
        <w:t xml:space="preserve">No caso de se licitar, em um mesmo certame, o projeto de engenharia e os serviços de supervisão, deve ser explicitada, no instrumento convocatório, a obrigatoriedade da apresentação de propostas distintas, com cláusula expressa prevendo a indicação das condições e preços de cada um dos serviços. Com base nesse entendimento, defendeu o relator que, não obstante o ato convocatório visando à </w:t>
      </w:r>
      <w:r w:rsidRPr="00590CA3">
        <w:rPr>
          <w:rFonts w:ascii="Arial" w:eastAsia="Calibri" w:hAnsi="Arial" w:cs="Arial"/>
          <w:i/>
          <w:iCs/>
          <w:sz w:val="24"/>
        </w:rPr>
        <w:t>“contratação da empresa de consultoria para elaboração do projeto executivo de engenharia do remanejamento da via férrea no perímetro urbano de Maringá”</w:t>
      </w:r>
      <w:r w:rsidRPr="00590CA3">
        <w:rPr>
          <w:rFonts w:ascii="Arial" w:eastAsia="Calibri" w:hAnsi="Arial" w:cs="Arial"/>
          <w:sz w:val="24"/>
        </w:rPr>
        <w:t xml:space="preserve"> fazer expressa menção acerca da possibilidade de supervisão e acompanhamento das obras, não era possível concluir que a licitante que viesse a ser contratada para a confecção do projeto executivo </w:t>
      </w:r>
      <w:r w:rsidRPr="00590CA3">
        <w:rPr>
          <w:rFonts w:ascii="Arial" w:eastAsia="Calibri" w:hAnsi="Arial" w:cs="Arial"/>
          <w:i/>
          <w:sz w:val="24"/>
        </w:rPr>
        <w:t>“seria considerada habilitada, também, para executar os serviços de supervisão, acompanhamento dos trabalhos e controle de qualidade da construção”</w:t>
      </w:r>
      <w:r w:rsidRPr="00590CA3">
        <w:rPr>
          <w:rFonts w:ascii="Arial" w:eastAsia="Calibri" w:hAnsi="Arial" w:cs="Arial"/>
          <w:sz w:val="24"/>
        </w:rPr>
        <w:t xml:space="preserve">. Ressaltou ainda que, a teor do disposto na Súmula TCU n.º 185, ao autor do projeto não é garantido o direito subjetivo de ser contratado para os serviços de supervisão da obra respectiva, sendo admissível incluir no objeto das licitações a serem realizadas para a elaboração de projetos de obras e serviços de engenharia, com expressa previsão no ato convocatório, a prestação de serviços de supervisão ou acompanhamento da execução, </w:t>
      </w:r>
      <w:r w:rsidRPr="00590CA3">
        <w:rPr>
          <w:rFonts w:ascii="Arial" w:eastAsia="Calibri" w:hAnsi="Arial" w:cs="Arial"/>
          <w:i/>
          <w:sz w:val="24"/>
        </w:rPr>
        <w:t>“mediante remuneração adicional, aceita como compatível com o porte e a utilidade dos serviços”</w:t>
      </w:r>
      <w:r w:rsidRPr="00590CA3">
        <w:rPr>
          <w:rFonts w:ascii="Arial" w:eastAsia="Calibri" w:hAnsi="Arial" w:cs="Arial"/>
          <w:sz w:val="24"/>
        </w:rPr>
        <w:t xml:space="preserve">. Ao final, o relator acompanhou a conclusão da unidade técnica, para a qual </w:t>
      </w:r>
      <w:r w:rsidRPr="00590CA3">
        <w:rPr>
          <w:rFonts w:ascii="Arial" w:eastAsia="Calibri" w:hAnsi="Arial" w:cs="Arial"/>
          <w:i/>
          <w:iCs/>
          <w:sz w:val="24"/>
        </w:rPr>
        <w:t>“haja vista o instrumento convocatório não dispor em tal sentido, não houve apresentação de proposta concomitante ao primeiro certame, motivo pelo que se caracterizou contratação direta ilícita”</w:t>
      </w:r>
      <w:r w:rsidRPr="00590CA3">
        <w:rPr>
          <w:rFonts w:ascii="Arial" w:eastAsia="Calibri" w:hAnsi="Arial" w:cs="Arial"/>
          <w:sz w:val="24"/>
        </w:rPr>
        <w:t>.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190/2001, 1.353/2003, 1.536/2004 e 1.824/2006, todos do Plenário. </w:t>
      </w:r>
      <w:r w:rsidRPr="00590CA3">
        <w:rPr>
          <w:rFonts w:ascii="Arial" w:eastAsia="Calibri" w:hAnsi="Arial" w:cs="Arial"/>
          <w:b/>
          <w:i/>
          <w:sz w:val="24"/>
        </w:rPr>
        <w:t>Acórdão n.º 189/2010-Plenário, TC-000.543/2008-0, rel. Min-Subst. André Luís de Carvalho, 10.02.2010</w:t>
      </w:r>
      <w:r w:rsidRPr="00590CA3">
        <w:rPr>
          <w:rFonts w:ascii="Arial" w:eastAsia="Calibri" w:hAnsi="Arial" w:cs="Arial"/>
          <w:sz w:val="24"/>
        </w:rPr>
        <w:t>.</w:t>
      </w:r>
    </w:p>
    <w:p w:rsidR="0049060C" w:rsidRPr="00590CA3" w:rsidRDefault="0049060C" w:rsidP="00633EA3">
      <w:pPr>
        <w:spacing w:before="120" w:after="240" w:line="240" w:lineRule="auto"/>
        <w:jc w:val="both"/>
        <w:rPr>
          <w:rFonts w:ascii="Arial" w:eastAsia="Calibri" w:hAnsi="Arial" w:cs="Arial"/>
          <w:b/>
          <w:bCs/>
          <w:sz w:val="24"/>
        </w:rPr>
      </w:pPr>
    </w:p>
    <w:p w:rsidR="0049060C" w:rsidRPr="00590CA3" w:rsidRDefault="0049060C" w:rsidP="00633EA3">
      <w:pPr>
        <w:spacing w:before="120" w:after="240" w:line="240" w:lineRule="auto"/>
        <w:jc w:val="both"/>
        <w:rPr>
          <w:rFonts w:ascii="Arial" w:eastAsia="Calibri" w:hAnsi="Arial" w:cs="Arial"/>
          <w:b/>
          <w:bCs/>
          <w:sz w:val="28"/>
        </w:rPr>
      </w:pPr>
      <w:r w:rsidRPr="00590CA3">
        <w:rPr>
          <w:rFonts w:ascii="Arial" w:eastAsia="Calibri" w:hAnsi="Arial" w:cs="Arial"/>
          <w:b/>
          <w:bCs/>
          <w:sz w:val="28"/>
        </w:rPr>
        <w:t>Exigência de experiência técnica da licitante em itens que não têm relevância e valor significativo em relação ao total da obra</w:t>
      </w:r>
    </w:p>
    <w:p w:rsidR="0049060C" w:rsidRPr="00590CA3" w:rsidRDefault="0049060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Representação formulada ao TCU versava sobre possíveis ilegalidades no Pregão Eletrônico n.º 125/2008, realizado no âmbito da Fundação Universidade Federal do ABC (UFABC), destinado à contratação de empresa especializada para a prestação de serviços técnicos em engenharia consultiva de </w:t>
      </w:r>
      <w:r w:rsidRPr="00590CA3">
        <w:rPr>
          <w:rFonts w:ascii="Arial" w:eastAsia="Calibri" w:hAnsi="Arial" w:cs="Arial"/>
          <w:sz w:val="24"/>
        </w:rPr>
        <w:lastRenderedPageBreak/>
        <w:t xml:space="preserve">gerenciamento geral, apoio técnico, fiscalização de projetos e obras para a construção do campus da UFABC, </w:t>
      </w:r>
      <w:smartTag w:uri="urn:schemas-microsoft-com:office:smarttags" w:element="PersonName">
        <w:smartTagPr>
          <w:attr w:name="ProductID" w:val="em São Bernardo"/>
        </w:smartTagPr>
        <w:r w:rsidRPr="00590CA3">
          <w:rPr>
            <w:rFonts w:ascii="Arial" w:eastAsia="Calibri" w:hAnsi="Arial" w:cs="Arial"/>
            <w:sz w:val="24"/>
          </w:rPr>
          <w:t>em São Bernardo</w:t>
        </w:r>
      </w:smartTag>
      <w:r w:rsidRPr="00590CA3">
        <w:rPr>
          <w:rFonts w:ascii="Arial" w:eastAsia="Calibri" w:hAnsi="Arial" w:cs="Arial"/>
          <w:sz w:val="24"/>
        </w:rPr>
        <w:t xml:space="preserve"> do Campo. Entre as supostas irregularidades, a representante indicou a decisão pela sua inabilitação em razão da não apresentação de certidões quanto à implantação de sistemas de informações gerenciais e à implantação de gestão de controle de qualidade, itens pouco relevantes dentro do escopo do objeto licitado. O relator reforçou a manifestação da unidade técnica que atuou no feito, a qual, embora reconhecendo a importância de uma empresa possuir meios (conhecimento, tecnologia equipamentos e programas informatizados) que a tornem mais competitiva, a ponto de refletir nos seus custos, e consequentemente, na oferta de preços menores, ponderou que a obrigatoriedade de a empresa possuir tais meios não deveria ser aceita, uma vez que </w:t>
      </w:r>
      <w:r w:rsidRPr="00590CA3">
        <w:rPr>
          <w:rFonts w:ascii="Arial" w:eastAsia="Calibri" w:hAnsi="Arial" w:cs="Arial"/>
          <w:i/>
          <w:iCs/>
          <w:sz w:val="24"/>
        </w:rPr>
        <w:t>“o importante para o serviço de fiscalização de obra, objeto da licitação, é que os dados sejam fornecidos com a acurácia suficiente para medir fielmente a evolução das obras e que seja feito o gerenciamento dos projetos de acordo com o realizado.”</w:t>
      </w:r>
      <w:r w:rsidRPr="00590CA3">
        <w:rPr>
          <w:rFonts w:ascii="Arial" w:eastAsia="Calibri" w:hAnsi="Arial" w:cs="Arial"/>
          <w:sz w:val="24"/>
        </w:rPr>
        <w:t xml:space="preserve">. Tendo em vista que o contrato já havia sido celebrado e que as demais licitantes seriam inabilitadas por outros critérios previstos no edital, deliberou a Primeira Câmara, acolhendo proposição do relator, no sentido de determinar à UFABC que, em futuros certames envolvendo a utilização de recursos federais, abstenha-se de exigir experiência técnica da empresa licitante em itens que não sejam de maior relevância e valor significativo, cumulativamente, em relação ao total da obra, nos termos do art. 37, XXI, da Constituição Federal, dos arts. 3º, § 1º, I, e 30, § 1º, I, da Lei n.º 8.666/93, </w:t>
      </w:r>
      <w:r w:rsidRPr="00590CA3">
        <w:rPr>
          <w:rFonts w:ascii="Arial" w:eastAsia="Calibri" w:hAnsi="Arial" w:cs="Arial"/>
          <w:i/>
          <w:sz w:val="24"/>
        </w:rPr>
        <w:t>“bem como em qualquer outro serviço que contenha especificação ou detalhamento irrelevante para a qualificação técnica, ou seja, que não exija conhecimento e capacitação técnicos diferenciados, não usuais e infungíveis”</w:t>
      </w:r>
      <w:r w:rsidRPr="00590CA3">
        <w:rPr>
          <w:rFonts w:ascii="Arial" w:eastAsia="Calibri" w:hAnsi="Arial" w:cs="Arial"/>
          <w:sz w:val="24"/>
        </w:rPr>
        <w:t xml:space="preserve">. </w:t>
      </w:r>
      <w:r w:rsidRPr="00590CA3">
        <w:rPr>
          <w:rFonts w:ascii="Arial" w:eastAsia="Calibri" w:hAnsi="Arial" w:cs="Arial"/>
          <w:b/>
          <w:i/>
          <w:sz w:val="24"/>
        </w:rPr>
        <w:t>Acórdão n.º 565/2010-1ª Câmara, TC-001.217/2009-7, rel. Min. Augusto Nardes, 09.02.2010</w:t>
      </w:r>
      <w:r w:rsidRPr="00590CA3">
        <w:rPr>
          <w:rFonts w:ascii="Arial" w:eastAsia="Calibri" w:hAnsi="Arial" w:cs="Arial"/>
          <w:sz w:val="24"/>
        </w:rPr>
        <w:t>.</w:t>
      </w:r>
    </w:p>
    <w:p w:rsidR="004B4517" w:rsidRPr="00590CA3" w:rsidRDefault="004B4517" w:rsidP="00633EA3">
      <w:pPr>
        <w:spacing w:before="120" w:after="240" w:line="240" w:lineRule="auto"/>
        <w:jc w:val="both"/>
        <w:rPr>
          <w:rFonts w:ascii="Arial" w:eastAsia="Calibri" w:hAnsi="Arial" w:cs="Arial"/>
          <w:sz w:val="24"/>
        </w:rPr>
      </w:pPr>
    </w:p>
    <w:p w:rsidR="0049060C" w:rsidRPr="00590CA3" w:rsidRDefault="0049060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5.</w:t>
      </w: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t>Exigência de que a vistoria técnica seja realizada pelo engenheiro responsável pela obra</w:t>
      </w:r>
    </w:p>
    <w:p w:rsidR="0049060C" w:rsidRPr="00590CA3" w:rsidRDefault="0049060C" w:rsidP="001522A7">
      <w:pPr>
        <w:spacing w:before="120" w:after="240" w:line="360" w:lineRule="auto"/>
        <w:jc w:val="both"/>
        <w:rPr>
          <w:rFonts w:ascii="Arial" w:eastAsia="Calibri" w:hAnsi="Arial" w:cs="Arial"/>
          <w:b/>
          <w:i/>
          <w:sz w:val="24"/>
        </w:rPr>
      </w:pPr>
      <w:r w:rsidRPr="00590CA3">
        <w:rPr>
          <w:rFonts w:ascii="Arial" w:eastAsia="Calibri" w:hAnsi="Arial" w:cs="Arial"/>
          <w:sz w:val="24"/>
        </w:rPr>
        <w:lastRenderedPageBreak/>
        <w:t xml:space="preserve">Representação formulada ao TCU indicou supostas irregularidades na condução da Tomada de Preços n.º 6/2009, promovida pelo Município de Miguel Alves/PI, cujo objeto era a contratação de empresa para a construção de dois ginásios poliesportivos no referido município. Noticiou a empresa representante a </w:t>
      </w:r>
      <w:r w:rsidRPr="00590CA3">
        <w:rPr>
          <w:rFonts w:ascii="Arial" w:eastAsia="Calibri" w:hAnsi="Arial" w:cs="Arial"/>
          <w:i/>
          <w:sz w:val="24"/>
        </w:rPr>
        <w:t>“negativa de vistoria técnica”</w:t>
      </w:r>
      <w:r w:rsidRPr="00590CA3">
        <w:rPr>
          <w:rFonts w:ascii="Arial" w:eastAsia="Calibri" w:hAnsi="Arial" w:cs="Arial"/>
          <w:sz w:val="24"/>
        </w:rPr>
        <w:t xml:space="preserve"> para o seu preposto, o que, segundo ela, evidenciava restrição ao caráter competitivo do certame. Em seu voto, destacou o relator que, de acordo com o edital, a pessoa habilitada para realizar a vistoria do local das obras deveria ser o responsável técnico da licitante: </w:t>
      </w:r>
      <w:r w:rsidRPr="00590CA3">
        <w:rPr>
          <w:rFonts w:ascii="Arial" w:eastAsia="Calibri" w:hAnsi="Arial" w:cs="Arial"/>
          <w:i/>
          <w:sz w:val="24"/>
        </w:rPr>
        <w:t xml:space="preserve">“4.1.1. - As interessadas em participar do presente certame deverão, como pré-requisito para participação, enviar representantes para visitação </w:t>
      </w:r>
      <w:r w:rsidRPr="00590CA3">
        <w:rPr>
          <w:rFonts w:ascii="Arial" w:eastAsia="Calibri" w:hAnsi="Arial" w:cs="Arial"/>
          <w:b/>
          <w:i/>
          <w:sz w:val="24"/>
        </w:rPr>
        <w:t>in loco</w:t>
      </w:r>
      <w:r w:rsidRPr="00590CA3">
        <w:rPr>
          <w:rFonts w:ascii="Arial" w:eastAsia="Calibri" w:hAnsi="Arial" w:cs="Arial"/>
          <w:i/>
          <w:sz w:val="24"/>
        </w:rPr>
        <w:t xml:space="preserve"> no local da obra. O representante da empresa deverá obrigatoriamente ser o engenheiro responsável da mesma, sendo acompanhado por representante da Secretaria de Obras do município, indicado pela autoridade competente.”</w:t>
      </w:r>
      <w:r w:rsidRPr="00590CA3">
        <w:rPr>
          <w:rFonts w:ascii="Arial" w:eastAsia="Calibri" w:hAnsi="Arial" w:cs="Arial"/>
          <w:sz w:val="24"/>
        </w:rPr>
        <w:t xml:space="preserve">. Nesse sentido, para o relator, </w:t>
      </w:r>
      <w:r w:rsidRPr="00590CA3">
        <w:rPr>
          <w:rFonts w:ascii="Arial" w:eastAsia="Calibri" w:hAnsi="Arial" w:cs="Arial"/>
          <w:i/>
          <w:sz w:val="24"/>
        </w:rPr>
        <w:t>“o envio de estagiário de engenharia, objetivando a visitação ao local das obras e sem competência para tal mister, em clara afronta à lei do certame, inviabilizou a emissão, pela municipalidade, da certidão com vistas ao cumprimento do pré-requisito para que a empresa representante pudesse acudir à licitação”</w:t>
      </w:r>
      <w:r w:rsidRPr="00590CA3">
        <w:rPr>
          <w:rFonts w:ascii="Arial" w:eastAsia="Calibri" w:hAnsi="Arial" w:cs="Arial"/>
          <w:sz w:val="24"/>
        </w:rPr>
        <w:t xml:space="preserve">. Enfatizou ainda que se </w:t>
      </w:r>
      <w:r w:rsidRPr="00590CA3">
        <w:rPr>
          <w:rFonts w:ascii="Arial" w:eastAsia="Calibri" w:hAnsi="Arial" w:cs="Arial"/>
          <w:i/>
          <w:sz w:val="24"/>
        </w:rPr>
        <w:t>“os gestores tivessem agido de modo diverso, permitindo, por exemplo, a visitação por pessoa não autorizada, poderiam ter concorrido para eventual impugnação, por parte de outros licitantes, do certame e/ou da empresa que ora representa ao Tribunal”</w:t>
      </w:r>
      <w:r w:rsidRPr="00590CA3">
        <w:rPr>
          <w:rFonts w:ascii="Arial" w:eastAsia="Calibri" w:hAnsi="Arial" w:cs="Arial"/>
          <w:sz w:val="24"/>
        </w:rPr>
        <w:t xml:space="preserve">. Acompanhando o voto do relator, decidiu o Plenário considerar improcedente a representação. </w:t>
      </w:r>
      <w:r w:rsidRPr="00590CA3">
        <w:rPr>
          <w:rFonts w:ascii="Arial" w:eastAsia="Calibri" w:hAnsi="Arial" w:cs="Arial"/>
          <w:b/>
          <w:i/>
          <w:sz w:val="24"/>
        </w:rPr>
        <w:t>Acórdão n.º 255/2010-Plenário, TC-023.939/2009-9, rel. Min. Augusto Nardes, 24.02.2010.</w:t>
      </w:r>
    </w:p>
    <w:p w:rsidR="0049060C" w:rsidRPr="00590CA3" w:rsidRDefault="0049060C" w:rsidP="00633EA3">
      <w:pPr>
        <w:spacing w:before="120" w:after="240" w:line="240" w:lineRule="auto"/>
        <w:jc w:val="both"/>
        <w:rPr>
          <w:rFonts w:ascii="Arial" w:eastAsia="Calibri" w:hAnsi="Arial" w:cs="Arial"/>
          <w:b/>
          <w:i/>
          <w:sz w:val="24"/>
        </w:rPr>
      </w:pPr>
    </w:p>
    <w:p w:rsidR="0049060C" w:rsidRPr="00590CA3" w:rsidRDefault="0049060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6.</w:t>
      </w: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t>Parcelamento do objeto e ampliação da competitividade</w:t>
      </w:r>
    </w:p>
    <w:p w:rsidR="0049060C" w:rsidRPr="00590CA3" w:rsidRDefault="0049060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Representação formulada ao TCU indicou possíveis “vícios” na gestão de recursos oriundos de convênio celebrado entre o Ministério do Turismo e a Prefeitura Municipal de Morretes/PR, que tinha por objeto a execução das seguintes obras: </w:t>
      </w:r>
      <w:r w:rsidRPr="00590CA3">
        <w:rPr>
          <w:rFonts w:ascii="Arial" w:eastAsia="Calibri" w:hAnsi="Arial" w:cs="Arial"/>
          <w:i/>
          <w:sz w:val="24"/>
        </w:rPr>
        <w:t xml:space="preserve">“Restauração da Casa Rocha Pombo; Restauração da Igreja São Benedito; Restauração da Igreja São Sebastião do Porto de Cima; Obra da </w:t>
      </w:r>
      <w:r w:rsidRPr="00590CA3">
        <w:rPr>
          <w:rFonts w:ascii="Arial" w:eastAsia="Calibri" w:hAnsi="Arial" w:cs="Arial"/>
          <w:i/>
          <w:sz w:val="24"/>
        </w:rPr>
        <w:lastRenderedPageBreak/>
        <w:t>3ª Etapa do Centro de Eventos Praça de Alimentação; Passarela Metálica sobre o Rio Nhundiaquara; Ciclovia; Praça do Porto de Cima; Pavimentação Asfáltica e Drenagem Pluvial da via de acesso ao Iate Clube”</w:t>
      </w:r>
      <w:r w:rsidRPr="00590CA3">
        <w:rPr>
          <w:rFonts w:ascii="Arial" w:eastAsia="Calibri" w:hAnsi="Arial" w:cs="Arial"/>
          <w:sz w:val="24"/>
        </w:rPr>
        <w:t xml:space="preserve">. Entre os possíveis “vícios” apontados na Concorrência n.º 02/2008, levada a efeito pelo município, mereceu destaque a ausência de parcelamento do objeto da licitação. Consoante ressaltado na instrução da unidade técnica, </w:t>
      </w:r>
      <w:r w:rsidRPr="00590CA3">
        <w:rPr>
          <w:rFonts w:ascii="Arial" w:eastAsia="Calibri" w:hAnsi="Arial" w:cs="Arial"/>
          <w:i/>
          <w:sz w:val="24"/>
        </w:rPr>
        <w:t>“a estratégia do gestor municipal de deflagrar processo licitatório único para todas as obras, não adotando o parcelamento, acarretou restrição à competitividade do certame, pois exigiu das potenciais licitantes que tivessem realizado anteriormente obras similares às requeridas. [...] sobressaem dos autos como indicativos da viabilidade de parcelamento do objeto o valor expressivo da contratação, a natureza diversificada dos serviços e das obras, além do fato de as obras e serviços virem a ser executados em localidades distintas”.</w:t>
      </w:r>
      <w:r w:rsidRPr="00590CA3">
        <w:rPr>
          <w:rFonts w:ascii="Arial" w:eastAsia="Calibri" w:hAnsi="Arial" w:cs="Arial"/>
          <w:sz w:val="24"/>
        </w:rPr>
        <w:t xml:space="preserve"> Para corroborar o entendimento de que houve restrição à participação de empresas no certame, o relator enfatizou a participação de apenas duas empresas. Nesse sentido, decidiu o Plenário determinar à Prefeitura Municipal de Morretes/PR que, em futuras licitações custeadas com recursos federais, </w:t>
      </w:r>
      <w:r w:rsidRPr="00590CA3">
        <w:rPr>
          <w:rFonts w:ascii="Arial" w:eastAsia="Calibri" w:hAnsi="Arial" w:cs="Arial"/>
          <w:i/>
          <w:sz w:val="24"/>
        </w:rPr>
        <w:t>“parcele o objeto a ser licitado de forma a ampliar a competitividade, quando isso se revelar técnica e economicamente recomendável”</w:t>
      </w:r>
      <w:r w:rsidRPr="00590CA3">
        <w:rPr>
          <w:rFonts w:ascii="Arial" w:eastAsia="Calibri" w:hAnsi="Arial" w:cs="Arial"/>
          <w:sz w:val="24"/>
        </w:rPr>
        <w:t xml:space="preserve">, conforme disposto no art. 3º, c/c § 1º do art. 23 da Lei n.º 8.666/93, </w:t>
      </w:r>
      <w:r w:rsidRPr="00590CA3">
        <w:rPr>
          <w:rFonts w:ascii="Arial" w:eastAsia="Calibri" w:hAnsi="Arial" w:cs="Arial"/>
          <w:i/>
          <w:sz w:val="24"/>
        </w:rPr>
        <w:t>“a fim de evitar a ocorrência de redução indevida do número de licitantes”</w:t>
      </w:r>
      <w:r w:rsidRPr="00590CA3">
        <w:rPr>
          <w:rFonts w:ascii="Arial" w:eastAsia="Calibri" w:hAnsi="Arial" w:cs="Arial"/>
          <w:sz w:val="24"/>
        </w:rPr>
        <w:t xml:space="preserve">. </w:t>
      </w:r>
      <w:r w:rsidRPr="00590CA3">
        <w:rPr>
          <w:rFonts w:ascii="Arial" w:eastAsia="Calibri" w:hAnsi="Arial" w:cs="Arial"/>
          <w:b/>
          <w:i/>
          <w:sz w:val="24"/>
        </w:rPr>
        <w:t>Acórdão n.º 326/2010-Plenário, TC-002.774/2009-5, rel. Min. Benjamin Zymler, 03.03.2010.</w:t>
      </w:r>
    </w:p>
    <w:p w:rsidR="0049060C" w:rsidRPr="00590CA3" w:rsidRDefault="0049060C" w:rsidP="00633EA3">
      <w:pPr>
        <w:spacing w:before="120" w:after="240" w:line="240" w:lineRule="auto"/>
        <w:jc w:val="both"/>
        <w:rPr>
          <w:rFonts w:ascii="Arial" w:eastAsia="Calibri" w:hAnsi="Arial" w:cs="Arial"/>
          <w:sz w:val="24"/>
        </w:rPr>
      </w:pP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t>Exigência de vínculo empregatício do responsável técnico de nível superior com a empresa licitante, bem como de a visita técnica ser por ele realizada</w:t>
      </w:r>
    </w:p>
    <w:p w:rsidR="0049060C" w:rsidRPr="000F2D4B" w:rsidRDefault="0049060C" w:rsidP="001522A7">
      <w:pPr>
        <w:spacing w:before="120" w:after="240" w:line="360" w:lineRule="auto"/>
        <w:jc w:val="both"/>
        <w:rPr>
          <w:rFonts w:ascii="Arial" w:eastAsia="Calibri" w:hAnsi="Arial" w:cs="Arial"/>
          <w:b/>
          <w:i/>
          <w:sz w:val="24"/>
        </w:rPr>
      </w:pPr>
      <w:r w:rsidRPr="00590CA3">
        <w:rPr>
          <w:rFonts w:ascii="Arial" w:eastAsia="Calibri" w:hAnsi="Arial" w:cs="Arial"/>
          <w:sz w:val="24"/>
        </w:rPr>
        <w:t xml:space="preserve">Outro “vício” identificado no âmbito da Concorrência n.º 02/2008, realizada pela Prefeitura Municipal de Morretes/PR, foi a exigência editalícia de comprovação de vínculo empregatício do responsável técnico no momento da apresentação da proposta. Impôs-se, também, a realização de visita técnica em data única e obrigatoriamente pelo responsável técnico integrante do quadro permanente da licitante, com afronta, segundo a representante, ao que prescreve o art. 30, II e § 1º, c/c art. 3º, § 1º, da Lei n.º 8.666/93, e ao próprio entendimento do TCU </w:t>
      </w:r>
      <w:r w:rsidRPr="00590CA3">
        <w:rPr>
          <w:rFonts w:ascii="Arial" w:eastAsia="Calibri" w:hAnsi="Arial" w:cs="Arial"/>
          <w:sz w:val="24"/>
        </w:rPr>
        <w:lastRenderedPageBreak/>
        <w:t>consignado nos Acórdãos n.</w:t>
      </w:r>
      <w:r w:rsidRPr="00590CA3">
        <w:rPr>
          <w:rFonts w:ascii="Arial" w:eastAsia="Calibri" w:hAnsi="Arial" w:cs="Arial"/>
          <w:sz w:val="24"/>
          <w:vertAlign w:val="superscript"/>
        </w:rPr>
        <w:t>os</w:t>
      </w:r>
      <w:r w:rsidRPr="00590CA3">
        <w:rPr>
          <w:rFonts w:ascii="Arial" w:eastAsia="Calibri" w:hAnsi="Arial" w:cs="Arial"/>
          <w:sz w:val="24"/>
        </w:rPr>
        <w:t xml:space="preserve"> 1.332/2006 e 1.631/2007, ambos do Plenário. Na instrução da unidade técnica, foram destacados os comentários de Marçal Justen Filho sobre o conceito de </w:t>
      </w:r>
      <w:r w:rsidRPr="00590CA3">
        <w:rPr>
          <w:rFonts w:ascii="Arial" w:eastAsia="Calibri" w:hAnsi="Arial" w:cs="Arial"/>
          <w:i/>
          <w:sz w:val="24"/>
        </w:rPr>
        <w:t>“quadros permanentes”</w:t>
      </w:r>
      <w:r w:rsidRPr="00590CA3">
        <w:rPr>
          <w:rFonts w:ascii="Arial" w:eastAsia="Calibri" w:hAnsi="Arial" w:cs="Arial"/>
          <w:sz w:val="24"/>
        </w:rPr>
        <w:t xml:space="preserve">, constante do art. 30, § 1º, I, da Lei n.º 8.666/93: </w:t>
      </w:r>
      <w:r w:rsidRPr="00590CA3">
        <w:rPr>
          <w:rFonts w:ascii="Arial" w:eastAsia="Calibri" w:hAnsi="Arial" w:cs="Arial"/>
          <w:i/>
          <w:sz w:val="24"/>
        </w:rPr>
        <w:t>“A interpretação ampliativa e rigorosa da exigência do vínculo trabalhista se configura como uma modalidade de distorção: o fundamental, para a Administração Pública, é que o profissional esteja em condições de efetivamente desempenhar seus trabalhos por ocasião da execução do futuro contrato. É inútil, para ela, que os licitantes mantenham profissionais de alta qualificação empregados apenas para participar da licitação. É suficiente, então, a existência de contrato de prestação de serviços, sem vínculo trabalhista e regido pela legislação civil comum. Aliás, essa é a interpretação que se extrai do próprio art. 30, quando estabelece que as exigências acerca de pessoal qualificado devem reputar-se atendidas mediante mera declaração de disponibilidade apresentada pelo licitante.”</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 xml:space="preserve">Em seu voto, o relator reforçou a posição da unidade instrutiva no sentido de que </w:t>
      </w:r>
      <w:r w:rsidRPr="00590CA3">
        <w:rPr>
          <w:rFonts w:ascii="Arial" w:eastAsia="Calibri" w:hAnsi="Arial" w:cs="Arial"/>
          <w:i/>
          <w:sz w:val="24"/>
        </w:rPr>
        <w:t>“a exigência de comprovação de vínculo empregatício do responsável técnico, vedada por lei, conduz à restrição à competitividade”</w:t>
      </w:r>
      <w:r w:rsidRPr="00590CA3">
        <w:rPr>
          <w:rFonts w:ascii="Arial" w:eastAsia="Calibri" w:hAnsi="Arial" w:cs="Arial"/>
          <w:sz w:val="24"/>
        </w:rPr>
        <w:t>. Quanto à exigência de realização de</w:t>
      </w:r>
      <w:r w:rsidRPr="00590CA3">
        <w:rPr>
          <w:rFonts w:ascii="Arial" w:eastAsia="Calibri" w:hAnsi="Arial" w:cs="Arial"/>
          <w:i/>
          <w:sz w:val="24"/>
        </w:rPr>
        <w:t xml:space="preserve"> </w:t>
      </w:r>
      <w:r w:rsidRPr="00590CA3">
        <w:rPr>
          <w:rFonts w:ascii="Arial" w:eastAsia="Calibri" w:hAnsi="Arial" w:cs="Arial"/>
          <w:sz w:val="24"/>
        </w:rPr>
        <w:t xml:space="preserve">visita técnica em data única, </w:t>
      </w:r>
      <w:r w:rsidRPr="00590CA3">
        <w:rPr>
          <w:rFonts w:ascii="Arial" w:eastAsia="Calibri" w:hAnsi="Arial" w:cs="Arial"/>
          <w:i/>
          <w:sz w:val="24"/>
        </w:rPr>
        <w:t>“da mesma forma, os elementos de defesa não se mostraram suficientes para justificá-la, portanto, persistindo a afronta ao art. 30, § 1º, inciso I, c/c art. 3º, § 1º, da Lei n.º 8666/1993, consoante já decidido pelo TCU nos Acórdãos n.</w:t>
      </w:r>
      <w:r w:rsidRPr="00590CA3">
        <w:rPr>
          <w:rFonts w:ascii="Arial" w:eastAsia="Calibri" w:hAnsi="Arial" w:cs="Arial"/>
          <w:i/>
          <w:sz w:val="24"/>
          <w:vertAlign w:val="superscript"/>
        </w:rPr>
        <w:t>os</w:t>
      </w:r>
      <w:r w:rsidRPr="00590CA3">
        <w:rPr>
          <w:rFonts w:ascii="Arial" w:eastAsia="Calibri" w:hAnsi="Arial" w:cs="Arial"/>
          <w:i/>
          <w:sz w:val="24"/>
        </w:rPr>
        <w:t xml:space="preserve"> 1.332/2006 e 1.631/2007, ambos do Plenário”</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O relator propôs e o Plenário decidiu expedir determinação corretiva à Prefeitura Municipal de Morretes/PR, para futuras licitações custeadas com recursos federais. Outros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316/2006, 608/2008 e 1.547/2008, todos do Plenário. </w:t>
      </w:r>
      <w:r w:rsidRPr="00590CA3">
        <w:rPr>
          <w:rFonts w:ascii="Arial" w:eastAsia="Calibri" w:hAnsi="Arial" w:cs="Arial"/>
          <w:b/>
          <w:i/>
          <w:sz w:val="24"/>
        </w:rPr>
        <w:t xml:space="preserve">Acórdão n.º 326/2010-Plenário, TC-002.774/2009-5, rel. </w:t>
      </w:r>
      <w:r w:rsidRPr="000F2D4B">
        <w:rPr>
          <w:rFonts w:ascii="Arial" w:eastAsia="Calibri" w:hAnsi="Arial" w:cs="Arial"/>
          <w:b/>
          <w:i/>
          <w:sz w:val="24"/>
        </w:rPr>
        <w:t>Min. Benjamin Zymler, 03.03.2010.</w:t>
      </w:r>
    </w:p>
    <w:p w:rsidR="001522A7" w:rsidRPr="000F2D4B" w:rsidRDefault="001522A7" w:rsidP="001522A7">
      <w:pPr>
        <w:spacing w:before="120" w:after="240" w:line="360" w:lineRule="auto"/>
        <w:jc w:val="both"/>
        <w:rPr>
          <w:rFonts w:ascii="Arial" w:eastAsia="Calibri" w:hAnsi="Arial" w:cs="Arial"/>
          <w:b/>
          <w:i/>
          <w:sz w:val="24"/>
        </w:rPr>
      </w:pP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t>Exigência de os licitantes apresentarem desconto único, em relação ao orçamento do órgão que realiza o certame, para todos os preços unitários</w:t>
      </w:r>
    </w:p>
    <w:p w:rsidR="0049060C" w:rsidRPr="000F2D4B" w:rsidRDefault="0049060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Outra possível irregularidade levantada no âmbito da Concorrência n.º 02/2008, promovida pela Prefeitura Municipal de Morretes/PR, envolvia a previsão editalícia de que, caso o licitante apresentasse preço diferenciado do constante </w:t>
      </w:r>
      <w:r w:rsidRPr="00590CA3">
        <w:rPr>
          <w:rFonts w:ascii="Arial" w:eastAsia="Calibri" w:hAnsi="Arial" w:cs="Arial"/>
          <w:sz w:val="24"/>
        </w:rPr>
        <w:lastRenderedPageBreak/>
        <w:t xml:space="preserve">na planilha de preços, sob pena de desclassificação, deveria fazê-lo por meio de um único multiplicador “k”, que incidiria linearmente sobre todos os preços unitários dos serviços constantes das planilhas de preços. Para chegar à conclusão de que essa imposição comprometia a competitividade do certame, o relator valeu-se do entendimento da unidade técnica, segundo a qual </w:t>
      </w:r>
      <w:r w:rsidRPr="00590CA3">
        <w:rPr>
          <w:rFonts w:ascii="Arial" w:eastAsia="Calibri" w:hAnsi="Arial" w:cs="Arial"/>
          <w:i/>
          <w:sz w:val="24"/>
        </w:rPr>
        <w:t>“mesmo que a empresa intencionasse apresentar desconto maior em determinado serviço ficava impedida pela referida disposição do edital, restringindo, inclusive, uma efetiva competitividade do certame”</w:t>
      </w:r>
      <w:r w:rsidRPr="00590CA3">
        <w:rPr>
          <w:rFonts w:ascii="Arial" w:eastAsia="Calibri" w:hAnsi="Arial" w:cs="Arial"/>
          <w:sz w:val="24"/>
        </w:rPr>
        <w:t xml:space="preserve">. Ademais, </w:t>
      </w:r>
      <w:r w:rsidRPr="00590CA3">
        <w:rPr>
          <w:rFonts w:ascii="Arial" w:eastAsia="Calibri" w:hAnsi="Arial" w:cs="Arial"/>
          <w:i/>
          <w:sz w:val="24"/>
        </w:rPr>
        <w:t>“pode ter impossibilitado os licitantes de ofertarem descontos diferenciados para determinados serviços, de forma que não restou evidenciada a obtenção da proposta mais benéfica para a administração”</w:t>
      </w:r>
      <w:r w:rsidRPr="00590CA3">
        <w:rPr>
          <w:rFonts w:ascii="Arial" w:eastAsia="Calibri" w:hAnsi="Arial" w:cs="Arial"/>
          <w:sz w:val="24"/>
        </w:rPr>
        <w:t xml:space="preserve">. Acolhendo proposição do relator, deliberou o Plenário no sentido de determinar à Prefeitura Municipal de Morretes/PR que </w:t>
      </w:r>
      <w:r w:rsidRPr="00590CA3">
        <w:rPr>
          <w:rFonts w:ascii="Arial" w:eastAsia="Calibri" w:hAnsi="Arial" w:cs="Arial"/>
          <w:i/>
          <w:sz w:val="24"/>
        </w:rPr>
        <w:t>“abstenha-se de incluir, em edital de licitação, exigência de desconto único para todos os preços unitários, por violar o disposto no inciso X do art. 40 da Lei 8666/1993”</w:t>
      </w:r>
      <w:r w:rsidRPr="00590CA3">
        <w:rPr>
          <w:rFonts w:ascii="Arial" w:eastAsia="Calibri" w:hAnsi="Arial" w:cs="Arial"/>
          <w:sz w:val="24"/>
        </w:rPr>
        <w:t xml:space="preserve">. </w:t>
      </w:r>
      <w:r w:rsidRPr="00590CA3">
        <w:rPr>
          <w:rFonts w:ascii="Arial" w:eastAsia="Calibri" w:hAnsi="Arial" w:cs="Arial"/>
          <w:b/>
          <w:i/>
          <w:sz w:val="24"/>
        </w:rPr>
        <w:t xml:space="preserve">Acórdão n.º 326/2010-Plenário, TC-002.774/2009-5, rel. </w:t>
      </w:r>
      <w:r w:rsidRPr="000F2D4B">
        <w:rPr>
          <w:rFonts w:ascii="Arial" w:eastAsia="Calibri" w:hAnsi="Arial" w:cs="Arial"/>
          <w:b/>
          <w:i/>
          <w:sz w:val="24"/>
        </w:rPr>
        <w:t>Min. Benjamin Zymler, 03.03.2010.</w:t>
      </w:r>
    </w:p>
    <w:p w:rsidR="0049060C" w:rsidRPr="000F2D4B" w:rsidRDefault="0049060C" w:rsidP="00633EA3">
      <w:pPr>
        <w:spacing w:before="120" w:after="240" w:line="240" w:lineRule="auto"/>
        <w:jc w:val="both"/>
        <w:rPr>
          <w:rFonts w:ascii="Arial" w:eastAsia="Calibri" w:hAnsi="Arial" w:cs="Arial"/>
          <w:sz w:val="28"/>
        </w:rPr>
      </w:pPr>
    </w:p>
    <w:p w:rsidR="0049060C" w:rsidRPr="00590CA3" w:rsidRDefault="0049060C" w:rsidP="00633EA3">
      <w:pPr>
        <w:spacing w:before="120" w:after="240" w:line="240" w:lineRule="auto"/>
        <w:jc w:val="both"/>
        <w:rPr>
          <w:rFonts w:ascii="Arial" w:eastAsia="Calibri" w:hAnsi="Arial" w:cs="Arial"/>
          <w:sz w:val="28"/>
        </w:rPr>
      </w:pPr>
      <w:r w:rsidRPr="00590CA3">
        <w:rPr>
          <w:rFonts w:ascii="Arial" w:eastAsia="Calibri" w:hAnsi="Arial" w:cs="Arial"/>
          <w:b/>
          <w:sz w:val="28"/>
        </w:rPr>
        <w:t>Responsabilidade dos membros da comissão de licitação por exigências editalícias restritivas à competição</w:t>
      </w:r>
    </w:p>
    <w:p w:rsidR="0049060C" w:rsidRPr="000F2D4B" w:rsidRDefault="0049060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As irregularidades verificadas no âmbito da Concorrência n.º 02/2008, realizada pela Prefeitura Municipal de Morretes/PR, consideradas em conjunto, levaram o relator à conclusão de se ter buscado privilegiar indevidamente a vencedora do certame. Para ele, deveriam elas ser imputadas aos membros da comissão de licitação, que elaboraram o edital e conduziram o certame, e ao ex-Prefeito, que deflagrou o procedimento licitatório, adjudicou o objeto da licitação e a homologou, além de haver celebrado o contrato. Por tais razões, a despeito de ter-se operado a anulação do certame e dos atos dele decorrentes, mediante iniciativa do Prefeito sucessor, entendeu o relator, no que foi acompanhado pelos seus pares, que deveriam ser aqueles responsáveis apenados com multa. </w:t>
      </w:r>
      <w:r w:rsidRPr="00590CA3">
        <w:rPr>
          <w:rFonts w:ascii="Arial" w:eastAsia="Calibri" w:hAnsi="Arial" w:cs="Arial"/>
          <w:b/>
          <w:i/>
          <w:sz w:val="24"/>
        </w:rPr>
        <w:t xml:space="preserve">Acórdão n.º 326/2010-Plenário, TC-002.774/2009-5, rel. </w:t>
      </w:r>
      <w:r w:rsidRPr="000F2D4B">
        <w:rPr>
          <w:rFonts w:ascii="Arial" w:eastAsia="Calibri" w:hAnsi="Arial" w:cs="Arial"/>
          <w:b/>
          <w:i/>
          <w:sz w:val="24"/>
        </w:rPr>
        <w:t>Min. Benjamin Zymler, 03.03.2010.</w:t>
      </w:r>
    </w:p>
    <w:p w:rsidR="0049060C" w:rsidRPr="000F2D4B" w:rsidRDefault="0049060C" w:rsidP="00633EA3">
      <w:pPr>
        <w:spacing w:before="120" w:after="240" w:line="240" w:lineRule="auto"/>
        <w:jc w:val="both"/>
        <w:rPr>
          <w:rFonts w:ascii="Arial" w:eastAsia="Calibri" w:hAnsi="Arial" w:cs="Arial"/>
          <w:sz w:val="24"/>
        </w:rPr>
      </w:pP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lastRenderedPageBreak/>
        <w:t>Exigência, para fim de comprovação da capacidade técnico-operacional da licitante, de número máximo de atestados</w:t>
      </w:r>
    </w:p>
    <w:p w:rsidR="0049060C" w:rsidRPr="00590CA3" w:rsidRDefault="0049060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Ao apreciar apartados constituídos a partir de levantamento de auditoria nas obras de dragagem do Porto do Itaqui/MA, o Tribunal, por meio do Acórdão n.º 2.712/2008-Plenário, decidiu aplicar multa ao ex-Diretor Presidente, ao ex-Presidente da Comissão Central de Licitação e ao ex-Diretor de Engenharia, todos da Empresa Maranhense de Administração Portuária (Emap), em razão de irregularidades verificadas na Concorrência n.º 77/2005, entre as quais se inseria a </w:t>
      </w:r>
      <w:r w:rsidRPr="00590CA3">
        <w:rPr>
          <w:rFonts w:ascii="Arial" w:eastAsia="Calibri" w:hAnsi="Arial" w:cs="Arial"/>
          <w:i/>
          <w:sz w:val="24"/>
        </w:rPr>
        <w:t>“exigência de atestados para comprovação de capacidade técnico-operacional limitados ao número de dois, com cada quesito atendido em suas quantidades mínimas por apenas um contrato sem fundamentação em justificativas técnicas adequadas, infringindo o disposto no art. 3º, § 1º, inciso I, da Lei 8.666/1993”</w:t>
      </w:r>
      <w:r w:rsidRPr="00590CA3">
        <w:rPr>
          <w:rFonts w:ascii="Arial" w:eastAsia="Calibri" w:hAnsi="Arial" w:cs="Arial"/>
          <w:sz w:val="24"/>
        </w:rPr>
        <w:t xml:space="preserve">. Inconformados com a decisão, os responsáveis interpuseram pedidos de reexame. Em seu voto, destacou o relator haver evidências nos autos de que o ex-Presidente da Comissão Central de Licitação não atuou na elaboração do edital, mas apenas na condução do certame, razão pela qual não lhe devia </w:t>
      </w:r>
      <w:r w:rsidRPr="00590CA3">
        <w:rPr>
          <w:rFonts w:ascii="Arial" w:eastAsia="Calibri" w:hAnsi="Arial" w:cs="Arial"/>
          <w:i/>
          <w:sz w:val="24"/>
        </w:rPr>
        <w:t>“ser atribuída responsabilidade pela inclusão de exigências restritivas do caráter competitivo da licitação”</w:t>
      </w:r>
      <w:r w:rsidRPr="00590CA3">
        <w:rPr>
          <w:rFonts w:ascii="Arial" w:eastAsia="Calibri" w:hAnsi="Arial" w:cs="Arial"/>
          <w:sz w:val="24"/>
        </w:rPr>
        <w:t xml:space="preserve">. Os outros recorrentes não obtiveram êxito em demonstrar a insubsistência da irregularidade que lhes foi atribuída. Para o relator, </w:t>
      </w:r>
      <w:r w:rsidRPr="00590CA3">
        <w:rPr>
          <w:rFonts w:ascii="Arial" w:eastAsia="Calibri" w:hAnsi="Arial" w:cs="Arial"/>
          <w:i/>
          <w:sz w:val="24"/>
        </w:rPr>
        <w:t>“era plenamente possível que a Emap exigisse dos licitantes comprovação de experiência anterior no que se refere aos serviços em questão”</w:t>
      </w:r>
      <w:r w:rsidRPr="00590CA3">
        <w:rPr>
          <w:rFonts w:ascii="Arial" w:eastAsia="Calibri" w:hAnsi="Arial" w:cs="Arial"/>
          <w:iCs/>
          <w:sz w:val="24"/>
        </w:rPr>
        <w:t xml:space="preserve">. As irregularidades concentraram-se, portanto, </w:t>
      </w:r>
      <w:r w:rsidRPr="00590CA3">
        <w:rPr>
          <w:rFonts w:ascii="Arial" w:eastAsia="Calibri" w:hAnsi="Arial" w:cs="Arial"/>
          <w:i/>
          <w:sz w:val="24"/>
        </w:rPr>
        <w:t>“não no ato de exigir qualificação técnico-operacional dos licitantes, mas no excesso cometido dentro da margem de discricionariedade da Administração, ao se estabelecer, efetivamente, número máximo de 2 (dois) atestados [...]. De fato, os gestores da Emap não lograram justificar a relação estrita entre os serviços de dragagem e aterro hidráulico e a capacidade operacional das proponentes a ponto de justificar a vedação imposta”</w:t>
      </w:r>
      <w:r w:rsidRPr="00590CA3">
        <w:rPr>
          <w:rFonts w:ascii="Arial" w:eastAsia="Calibri" w:hAnsi="Arial" w:cs="Arial"/>
          <w:sz w:val="24"/>
        </w:rPr>
        <w:t xml:space="preserve">. E concluiu o relator: </w:t>
      </w:r>
      <w:r w:rsidRPr="00590CA3">
        <w:rPr>
          <w:rFonts w:ascii="Arial" w:eastAsia="Calibri" w:hAnsi="Arial" w:cs="Arial"/>
          <w:i/>
          <w:sz w:val="24"/>
        </w:rPr>
        <w:t>“[...] o aproveitamento pelos licitantes de volumes inferiores atinentes a serviços de dragagem no mar e execução de aterro hidráulico, por meio de atestados em número superior a 2 (dois), era perfeitamente possível, desde que atendidas as especificações técnicas dos equipamentos e demais exigências do edital, porquanto não se tratava de serviços únicos, indissociáveis”</w:t>
      </w:r>
      <w:r w:rsidRPr="00590CA3">
        <w:rPr>
          <w:rFonts w:ascii="Arial" w:eastAsia="Calibri" w:hAnsi="Arial" w:cs="Arial"/>
          <w:sz w:val="24"/>
        </w:rPr>
        <w:t xml:space="preserve">. Ao final, manifestou-se no sentido de que fosse dado provimento ao recurso interposto </w:t>
      </w:r>
      <w:r w:rsidRPr="00590CA3">
        <w:rPr>
          <w:rFonts w:ascii="Arial" w:eastAsia="Calibri" w:hAnsi="Arial" w:cs="Arial"/>
          <w:sz w:val="24"/>
        </w:rPr>
        <w:lastRenderedPageBreak/>
        <w:t>pelo ex-Presidente da Comissão Central de Licitação da Emap, no que foi acompanhado pelos seus pares. Precedentes citados: Decisões n.</w:t>
      </w:r>
      <w:r w:rsidRPr="00590CA3">
        <w:rPr>
          <w:rFonts w:ascii="Arial" w:eastAsia="Calibri" w:hAnsi="Arial" w:cs="Arial"/>
          <w:sz w:val="24"/>
          <w:vertAlign w:val="superscript"/>
        </w:rPr>
        <w:t>os</w:t>
      </w:r>
      <w:r w:rsidRPr="00590CA3">
        <w:rPr>
          <w:rFonts w:ascii="Arial" w:eastAsia="Calibri" w:hAnsi="Arial" w:cs="Arial"/>
          <w:sz w:val="24"/>
        </w:rPr>
        <w:t xml:space="preserve"> 285/2000, 1.288/2002, 1.618/2002; e Acórdãos n.</w:t>
      </w:r>
      <w:r w:rsidRPr="00590CA3">
        <w:rPr>
          <w:rFonts w:ascii="Arial" w:eastAsia="Calibri" w:hAnsi="Arial" w:cs="Arial"/>
          <w:sz w:val="24"/>
          <w:vertAlign w:val="superscript"/>
        </w:rPr>
        <w:t>os</w:t>
      </w:r>
      <w:r w:rsidRPr="00590CA3">
        <w:rPr>
          <w:rFonts w:ascii="Arial" w:eastAsia="Calibri" w:hAnsi="Arial" w:cs="Arial"/>
          <w:sz w:val="24"/>
        </w:rPr>
        <w:t xml:space="preserve"> 1.917/2003, 1.284/2003, 1.631/2007, 2.014/2007, todos do Plenário; e Acórdão n.</w:t>
      </w:r>
      <w:r w:rsidRPr="00590CA3">
        <w:rPr>
          <w:rFonts w:ascii="Arial" w:eastAsia="Calibri" w:hAnsi="Arial" w:cs="Arial"/>
          <w:sz w:val="24"/>
          <w:vertAlign w:val="superscript"/>
        </w:rPr>
        <w:t>o</w:t>
      </w:r>
      <w:r w:rsidRPr="00590CA3">
        <w:rPr>
          <w:rFonts w:ascii="Arial" w:eastAsia="Calibri" w:hAnsi="Arial" w:cs="Arial"/>
          <w:sz w:val="24"/>
        </w:rPr>
        <w:t xml:space="preserve"> 2.104/2009-2ª Câmara. </w:t>
      </w:r>
      <w:r w:rsidRPr="00590CA3">
        <w:rPr>
          <w:rFonts w:ascii="Arial" w:eastAsia="Calibri" w:hAnsi="Arial" w:cs="Arial"/>
          <w:b/>
          <w:i/>
          <w:sz w:val="24"/>
        </w:rPr>
        <w:t>Acórdão n.º 329/2010-Plenário, TC-007.296/2008-0, rel. Min. Augusto Nardes, 03.03.2010.</w:t>
      </w:r>
    </w:p>
    <w:p w:rsidR="0049060C" w:rsidRPr="00590CA3" w:rsidRDefault="0049060C" w:rsidP="00633EA3">
      <w:pPr>
        <w:spacing w:before="120" w:after="240" w:line="240" w:lineRule="auto"/>
        <w:jc w:val="both"/>
        <w:rPr>
          <w:rFonts w:ascii="Arial" w:eastAsia="Calibri" w:hAnsi="Arial" w:cs="Arial"/>
          <w:sz w:val="24"/>
        </w:rPr>
      </w:pPr>
    </w:p>
    <w:p w:rsidR="0049060C" w:rsidRPr="00590CA3" w:rsidRDefault="0049060C" w:rsidP="00633EA3">
      <w:pPr>
        <w:spacing w:before="120" w:after="240" w:line="240" w:lineRule="auto"/>
        <w:jc w:val="both"/>
        <w:rPr>
          <w:rFonts w:ascii="Arial" w:eastAsia="Calibri" w:hAnsi="Arial" w:cs="Arial"/>
          <w:b/>
          <w:sz w:val="28"/>
        </w:rPr>
      </w:pPr>
      <w:r w:rsidRPr="00590CA3">
        <w:rPr>
          <w:rFonts w:ascii="Arial" w:eastAsia="Calibri" w:hAnsi="Arial" w:cs="Arial"/>
          <w:b/>
          <w:sz w:val="28"/>
        </w:rPr>
        <w:t>Exigência, para fim de qualificação técnico-operacional, de quantitativos mínimos em atestados</w:t>
      </w:r>
    </w:p>
    <w:p w:rsidR="0049060C" w:rsidRPr="00590CA3" w:rsidRDefault="0049060C" w:rsidP="001522A7">
      <w:pPr>
        <w:spacing w:before="120" w:after="240" w:line="360" w:lineRule="auto"/>
        <w:jc w:val="both"/>
        <w:rPr>
          <w:rFonts w:ascii="Arial" w:eastAsia="Calibri" w:hAnsi="Arial" w:cs="Arial"/>
          <w:b/>
          <w:i/>
          <w:sz w:val="24"/>
        </w:rPr>
      </w:pPr>
      <w:r w:rsidRPr="00590CA3">
        <w:rPr>
          <w:rFonts w:ascii="Arial" w:eastAsia="Calibri" w:hAnsi="Arial" w:cs="Arial"/>
          <w:sz w:val="24"/>
        </w:rPr>
        <w:t xml:space="preserve">Outra irregularidade envolvendo as obras de dragagem do Porto do Itaqui/MA foi a exigência, no edital da Concorrência n.º 77/2005, </w:t>
      </w:r>
      <w:r w:rsidRPr="00590CA3">
        <w:rPr>
          <w:rFonts w:ascii="Arial" w:eastAsia="Calibri" w:hAnsi="Arial" w:cs="Arial"/>
          <w:i/>
          <w:sz w:val="24"/>
        </w:rPr>
        <w:t>“de capacidade técnico-operacional por meio de atestados que comprovassem experiência anterior na execução de expressivos volumes de material dragado sem embasamento em justificativas técnicas [...].”</w:t>
      </w:r>
      <w:r w:rsidRPr="00590CA3">
        <w:rPr>
          <w:rFonts w:ascii="Arial" w:eastAsia="Calibri" w:hAnsi="Arial" w:cs="Arial"/>
          <w:sz w:val="24"/>
        </w:rPr>
        <w:t xml:space="preserve">. Os recorrentes buscaram evidenciar, por meio de relato dos fatos à época e segundo as suas atribuições na Emap, que não contribuíram para a consumação da ocorrência. Argumentaram que, pela natureza de seus cargos, não era razoável responsabilizá-los por atos envolvendo aspectos técnicos. Para o relator, os recorrentes </w:t>
      </w:r>
      <w:r w:rsidRPr="00590CA3">
        <w:rPr>
          <w:rFonts w:ascii="Arial" w:eastAsia="Calibri" w:hAnsi="Arial" w:cs="Arial"/>
          <w:i/>
          <w:sz w:val="24"/>
        </w:rPr>
        <w:t>“não agregam elementos para rebater a questão central levantada no relatório de auditoria, qual seja, a ausência de justificativa plausível para se exigir que os licitantes apresentassem quantidades mínimas da ordem de 70% e 77% para os itens de aterro hidráulico e dragagem de argila siltosa, respectivamente, o que se mostrou desarrazoado e em desacordo com a norma legal”</w:t>
      </w:r>
      <w:r w:rsidRPr="00590CA3">
        <w:rPr>
          <w:rFonts w:ascii="Arial" w:eastAsia="Calibri" w:hAnsi="Arial" w:cs="Arial"/>
          <w:sz w:val="24"/>
        </w:rPr>
        <w:t xml:space="preserve">. De fato, acrescenta o relator, </w:t>
      </w:r>
      <w:r w:rsidRPr="00590CA3">
        <w:rPr>
          <w:rFonts w:ascii="Arial" w:eastAsia="Calibri" w:hAnsi="Arial" w:cs="Arial"/>
          <w:i/>
          <w:sz w:val="24"/>
        </w:rPr>
        <w:t>“não era razoável que deles se exigisse conhecimento especializado em determinada área. Ocorre que a simples leitura, sem maiores conhecimentos acerca dos serviços, era suficiente para se atestar que as exigências de quantitativos mínimos eram excessivas, com sérios riscos à competitividade da licitação. Mesmo admitindo que a decisão envolvia questões alheias à esfera de conhecimento dos gestores, tal fato não os isentava do dever de exigir justificativas e elementos técnicos contundentes que lhe permitissem qualquer tomada de decisão”</w:t>
      </w:r>
      <w:r w:rsidRPr="00590CA3">
        <w:rPr>
          <w:rFonts w:ascii="Arial" w:eastAsia="Calibri" w:hAnsi="Arial" w:cs="Arial"/>
          <w:sz w:val="24"/>
        </w:rPr>
        <w:t xml:space="preserve">. Correto, a seu ver, </w:t>
      </w:r>
      <w:r w:rsidRPr="00590CA3">
        <w:rPr>
          <w:rFonts w:ascii="Arial" w:eastAsia="Calibri" w:hAnsi="Arial" w:cs="Arial"/>
          <w:i/>
          <w:sz w:val="24"/>
        </w:rPr>
        <w:t>“o entendimento perfilhado na decisão original, ocasião em que foi possível verificar nexo de causalidade entre as exigências de qualificação técnico-</w:t>
      </w:r>
      <w:r w:rsidRPr="00590CA3">
        <w:rPr>
          <w:rFonts w:ascii="Arial" w:eastAsia="Calibri" w:hAnsi="Arial" w:cs="Arial"/>
          <w:i/>
          <w:sz w:val="24"/>
        </w:rPr>
        <w:lastRenderedPageBreak/>
        <w:t>operacional e as condutas dos gestores e o reduzido número de propostas válidas (duas) em face de cerca de 20 (vinte) empresas interessadas”</w:t>
      </w:r>
      <w:r w:rsidRPr="00590CA3">
        <w:rPr>
          <w:rFonts w:ascii="Arial" w:eastAsia="Calibri" w:hAnsi="Arial" w:cs="Arial"/>
          <w:sz w:val="24"/>
        </w:rPr>
        <w:t xml:space="preserve">. Quanto a essa irregularidade, portanto, não deveriam ser acolhidos os argumentos recursais apresentados pelo ex-Diretor Presidente e pelo ex-Diretor de Engenharia da Emap. O Plenário acolheu a manifestação do relator. </w:t>
      </w:r>
      <w:r w:rsidRPr="00590CA3">
        <w:rPr>
          <w:rFonts w:ascii="Arial" w:eastAsia="Calibri" w:hAnsi="Arial" w:cs="Arial"/>
          <w:b/>
          <w:i/>
          <w:sz w:val="24"/>
        </w:rPr>
        <w:t>Acórdão n.º 329/2010-Plenário, TC-007.296/2008-0, rel. Min. Augusto Nardes, 03.03.2010.</w:t>
      </w:r>
    </w:p>
    <w:p w:rsidR="004B4517" w:rsidRPr="00590CA3" w:rsidRDefault="004B4517" w:rsidP="00633EA3">
      <w:pPr>
        <w:spacing w:before="120" w:after="240" w:line="240" w:lineRule="auto"/>
        <w:jc w:val="both"/>
        <w:rPr>
          <w:rFonts w:ascii="Arial" w:eastAsia="Calibri" w:hAnsi="Arial" w:cs="Arial"/>
          <w:b/>
          <w:i/>
          <w:sz w:val="24"/>
        </w:rPr>
      </w:pPr>
    </w:p>
    <w:p w:rsidR="0049060C" w:rsidRPr="00590CA3" w:rsidRDefault="0049060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7.</w:t>
      </w:r>
    </w:p>
    <w:p w:rsidR="0049060C" w:rsidRPr="00590CA3" w:rsidRDefault="0049060C" w:rsidP="00633EA3">
      <w:pPr>
        <w:spacing w:before="120" w:after="240" w:line="240" w:lineRule="auto"/>
        <w:jc w:val="both"/>
        <w:rPr>
          <w:rFonts w:ascii="Arial" w:eastAsia="Calibri" w:hAnsi="Arial" w:cs="Arial"/>
          <w:b/>
          <w:bCs/>
          <w:sz w:val="28"/>
        </w:rPr>
      </w:pPr>
      <w:r w:rsidRPr="00590CA3">
        <w:rPr>
          <w:rFonts w:ascii="Arial" w:eastAsia="Calibri" w:hAnsi="Arial" w:cs="Arial"/>
          <w:b/>
          <w:bCs/>
          <w:sz w:val="28"/>
        </w:rPr>
        <w:t>Arrendamento para construção e exploração de instalação portuária sem prévia licitação</w:t>
      </w:r>
    </w:p>
    <w:p w:rsidR="0049060C" w:rsidRPr="00590CA3" w:rsidRDefault="0049060C" w:rsidP="001522A7">
      <w:pPr>
        <w:spacing w:before="120" w:after="240" w:line="360" w:lineRule="auto"/>
        <w:jc w:val="both"/>
        <w:rPr>
          <w:rFonts w:ascii="Arial" w:eastAsia="Calibri" w:hAnsi="Arial" w:cs="Arial"/>
          <w:b/>
          <w:i/>
          <w:sz w:val="24"/>
        </w:rPr>
      </w:pPr>
      <w:r w:rsidRPr="00590CA3">
        <w:rPr>
          <w:rFonts w:ascii="Arial" w:eastAsia="Calibri" w:hAnsi="Arial" w:cs="Arial"/>
          <w:sz w:val="24"/>
        </w:rPr>
        <w:t xml:space="preserve">Consulta formulada ao TCU versou sobre a </w:t>
      </w:r>
      <w:r w:rsidRPr="00590CA3">
        <w:rPr>
          <w:rFonts w:ascii="Arial" w:eastAsia="Calibri" w:hAnsi="Arial" w:cs="Arial"/>
          <w:i/>
          <w:sz w:val="24"/>
        </w:rPr>
        <w:t>“possibilidade de serem realizados investimentos privados, em situações emergenciais ou de urgência, com posterior realização de procedimento licitatório para concessão de arrendamento, onde a empresa vencedora ficaria incumbida de promover a indenização dos investimentos realizados, caso a empresa investidora não se sagrasse vencedora do certame”</w:t>
      </w:r>
      <w:r w:rsidRPr="00590CA3">
        <w:rPr>
          <w:rFonts w:ascii="Arial" w:eastAsia="Calibri" w:hAnsi="Arial" w:cs="Arial"/>
          <w:sz w:val="24"/>
        </w:rPr>
        <w:t xml:space="preserve">. O consulente defendeu a necessidade de </w:t>
      </w:r>
      <w:r w:rsidRPr="00590CA3">
        <w:rPr>
          <w:rFonts w:ascii="Arial" w:eastAsia="Calibri" w:hAnsi="Arial" w:cs="Arial"/>
          <w:i/>
          <w:sz w:val="24"/>
        </w:rPr>
        <w:t>“investimentos em superestrutura para atendimento de safra de grãos agrícolas e o começo imediato das obras atenderia ao interesse público em menor prazo”</w:t>
      </w:r>
      <w:r w:rsidRPr="00590CA3">
        <w:rPr>
          <w:rFonts w:ascii="Arial" w:eastAsia="Calibri" w:hAnsi="Arial" w:cs="Arial"/>
          <w:sz w:val="24"/>
        </w:rPr>
        <w:t xml:space="preserve">. Em seu voto, o relator afirmou que a Lei n.º 8.630/93, que dispõe sobre o regime jurídico da exploração dos portos organizados e das instalações portuárias, é taxativa ao dispor: </w:t>
      </w:r>
      <w:r w:rsidRPr="00590CA3">
        <w:rPr>
          <w:rFonts w:ascii="Arial" w:eastAsia="Calibri" w:hAnsi="Arial" w:cs="Arial"/>
          <w:i/>
          <w:sz w:val="24"/>
        </w:rPr>
        <w:t xml:space="preserve">“Art. 4º Fica assegurado ao interessado o direito de construir, reformar, ampliar, melhorar, arrendar e explorar instalação portuária, dependendo: I - de contrato de arrendamento, celebrado com a União no caso de exploração direta, ou com sua concessionária, </w:t>
      </w:r>
      <w:r w:rsidRPr="00590CA3">
        <w:rPr>
          <w:rFonts w:ascii="Arial" w:eastAsia="Calibri" w:hAnsi="Arial" w:cs="Arial"/>
          <w:i/>
          <w:sz w:val="24"/>
          <w:u w:val="single"/>
        </w:rPr>
        <w:t>sempre através de licitação</w:t>
      </w:r>
      <w:r w:rsidRPr="00590CA3">
        <w:rPr>
          <w:rFonts w:ascii="Arial" w:eastAsia="Calibri" w:hAnsi="Arial" w:cs="Arial"/>
          <w:i/>
          <w:sz w:val="24"/>
        </w:rPr>
        <w:t>, quando localizada dentro dos limites da área do porto organizado;”</w:t>
      </w:r>
      <w:r w:rsidRPr="00590CA3">
        <w:rPr>
          <w:rFonts w:ascii="Arial" w:eastAsia="Calibri" w:hAnsi="Arial" w:cs="Arial"/>
          <w:sz w:val="24"/>
        </w:rPr>
        <w:t xml:space="preserve"> Da mesma forma, destacou a precisão do Decreto n.º 6.620/2008, que, entre outros assuntos, disciplina o arrendamento de instalações portuárias, estabelecendo que: </w:t>
      </w:r>
      <w:r w:rsidRPr="00590CA3">
        <w:rPr>
          <w:rFonts w:ascii="Arial" w:eastAsia="Calibri" w:hAnsi="Arial" w:cs="Arial"/>
          <w:i/>
          <w:sz w:val="24"/>
        </w:rPr>
        <w:t xml:space="preserve">“Art. 25. (...) § 2º As instalações portuárias incluídas no programa de arrendamento de instalações portuárias serão arrendadas </w:t>
      </w:r>
      <w:r w:rsidRPr="00590CA3">
        <w:rPr>
          <w:rFonts w:ascii="Arial" w:eastAsia="Calibri" w:hAnsi="Arial" w:cs="Arial"/>
          <w:i/>
          <w:sz w:val="24"/>
          <w:u w:val="single"/>
        </w:rPr>
        <w:t>mediante licitação</w:t>
      </w:r>
      <w:r w:rsidRPr="00590CA3">
        <w:rPr>
          <w:rFonts w:ascii="Arial" w:eastAsia="Calibri" w:hAnsi="Arial" w:cs="Arial"/>
          <w:i/>
          <w:sz w:val="24"/>
        </w:rPr>
        <w:t xml:space="preserve">, por iniciativa da administração do porto ou a requerimento do interessado. [...] Art. 29. O arrendamento de instalação </w:t>
      </w:r>
      <w:r w:rsidRPr="00590CA3">
        <w:rPr>
          <w:rFonts w:ascii="Arial" w:eastAsia="Calibri" w:hAnsi="Arial" w:cs="Arial"/>
          <w:i/>
          <w:sz w:val="24"/>
        </w:rPr>
        <w:lastRenderedPageBreak/>
        <w:t xml:space="preserve">portuária operacional observará que: [...] IV - o </w:t>
      </w:r>
      <w:r w:rsidRPr="00590CA3">
        <w:rPr>
          <w:rFonts w:ascii="Arial" w:eastAsia="Calibri" w:hAnsi="Arial" w:cs="Arial"/>
          <w:i/>
          <w:sz w:val="24"/>
          <w:u w:val="single"/>
        </w:rPr>
        <w:t>procedimento administrativo de licitação</w:t>
      </w:r>
      <w:r w:rsidRPr="00590CA3">
        <w:rPr>
          <w:rFonts w:ascii="Arial" w:eastAsia="Calibri" w:hAnsi="Arial" w:cs="Arial"/>
          <w:i/>
          <w:sz w:val="24"/>
        </w:rPr>
        <w:t xml:space="preserve"> para o arrendamento de instalações portuárias rege-se pela Lei nº 8.666, de 21 de junho de 1993, e pela Lei nº 8.987, de 1995;”</w:t>
      </w:r>
      <w:r w:rsidRPr="00590CA3">
        <w:rPr>
          <w:rFonts w:ascii="Arial" w:eastAsia="Calibri" w:hAnsi="Arial" w:cs="Arial"/>
          <w:iCs/>
          <w:sz w:val="24"/>
        </w:rPr>
        <w:t xml:space="preserve">. Por derradeiro, ressaltou que </w:t>
      </w:r>
      <w:r w:rsidRPr="00590CA3">
        <w:rPr>
          <w:rFonts w:ascii="Arial" w:eastAsia="Calibri" w:hAnsi="Arial" w:cs="Arial"/>
          <w:sz w:val="24"/>
        </w:rPr>
        <w:t xml:space="preserve">o art. 24 da Lei n.º 8.666/93 enumera exaustivamente os casos em que a licitação é dispensável, não sendo, pois, possível </w:t>
      </w:r>
      <w:r w:rsidRPr="00590CA3">
        <w:rPr>
          <w:rFonts w:ascii="Arial" w:eastAsia="Calibri" w:hAnsi="Arial" w:cs="Arial"/>
          <w:i/>
          <w:iCs/>
          <w:sz w:val="24"/>
        </w:rPr>
        <w:t xml:space="preserve">“enquadrar a pretensão” </w:t>
      </w:r>
      <w:r w:rsidRPr="00590CA3">
        <w:rPr>
          <w:rFonts w:ascii="Arial" w:eastAsia="Calibri" w:hAnsi="Arial" w:cs="Arial"/>
          <w:sz w:val="24"/>
        </w:rPr>
        <w:t>do consulente</w:t>
      </w:r>
      <w:r w:rsidRPr="00590CA3">
        <w:rPr>
          <w:rFonts w:ascii="Arial" w:eastAsia="Calibri" w:hAnsi="Arial" w:cs="Arial"/>
          <w:i/>
          <w:iCs/>
          <w:sz w:val="24"/>
        </w:rPr>
        <w:t xml:space="preserve"> “em qualquer das situações previstas naquele dispositivo”</w:t>
      </w:r>
      <w:r w:rsidRPr="00590CA3">
        <w:rPr>
          <w:rFonts w:ascii="Arial" w:eastAsia="Calibri" w:hAnsi="Arial" w:cs="Arial"/>
          <w:sz w:val="24"/>
        </w:rPr>
        <w:t xml:space="preserve">. Reforçou o entendimento da unidade técnica de que </w:t>
      </w:r>
      <w:r w:rsidRPr="00590CA3">
        <w:rPr>
          <w:rFonts w:ascii="Arial" w:eastAsia="Calibri" w:hAnsi="Arial" w:cs="Arial"/>
          <w:i/>
          <w:sz w:val="24"/>
        </w:rPr>
        <w:t>“[...] na hipótese levantada pelo interessado, haveria a construção de superestrutura sem licitação. Com isso, no posterior processo licitatório para arrendamento, os custos da obra já executada bem como o lucro da empresa construtora já estariam preestabelecidos. Assim, as demais licitantes teriam de assumir tais ônus. Essa situação poderia favorecer a empresa construtora da superestrutura ou impedir as demais licitantes de oferecer possíveis propostas mais vantajosas para a Administração.”</w:t>
      </w:r>
      <w:r w:rsidRPr="00590CA3">
        <w:rPr>
          <w:rFonts w:ascii="Arial" w:eastAsia="Calibri" w:hAnsi="Arial" w:cs="Arial"/>
          <w:iCs/>
          <w:sz w:val="24"/>
        </w:rPr>
        <w:t xml:space="preserve">. </w:t>
      </w:r>
      <w:r w:rsidRPr="00590CA3">
        <w:rPr>
          <w:rFonts w:ascii="Arial" w:eastAsia="Calibri" w:hAnsi="Arial" w:cs="Arial"/>
          <w:sz w:val="24"/>
        </w:rPr>
        <w:t xml:space="preserve">Acrescentou, ainda, que esse tipo de contratação </w:t>
      </w:r>
      <w:r w:rsidRPr="00590CA3">
        <w:rPr>
          <w:rFonts w:ascii="Arial" w:eastAsia="Calibri" w:hAnsi="Arial" w:cs="Arial"/>
          <w:iCs/>
          <w:sz w:val="24"/>
        </w:rPr>
        <w:t xml:space="preserve">também merece repúdio </w:t>
      </w:r>
      <w:r w:rsidRPr="00590CA3">
        <w:rPr>
          <w:rFonts w:ascii="Arial" w:eastAsia="Calibri" w:hAnsi="Arial" w:cs="Arial"/>
          <w:i/>
          <w:iCs/>
          <w:sz w:val="24"/>
        </w:rPr>
        <w:t>“por conceder privilégios a determinada empresa, uma vez que somente ela, e nenhum outro competidor do mercado, participa da negociação e conhece as condições de execução da obra”</w:t>
      </w:r>
      <w:r w:rsidRPr="00590CA3">
        <w:rPr>
          <w:rFonts w:ascii="Arial" w:eastAsia="Calibri" w:hAnsi="Arial" w:cs="Arial"/>
          <w:sz w:val="24"/>
        </w:rPr>
        <w:t xml:space="preserve">. Acompanhando o voto do relator, deliberou o Plenário no sentido de esclarecer ao interessado que: </w:t>
      </w:r>
      <w:r w:rsidRPr="00590CA3">
        <w:rPr>
          <w:rFonts w:ascii="Arial" w:eastAsia="Calibri" w:hAnsi="Arial" w:cs="Arial"/>
          <w:b/>
          <w:bCs/>
          <w:sz w:val="24"/>
        </w:rPr>
        <w:t>1)</w:t>
      </w:r>
      <w:r w:rsidRPr="00590CA3">
        <w:rPr>
          <w:rFonts w:ascii="Arial" w:eastAsia="Calibri" w:hAnsi="Arial" w:cs="Arial"/>
          <w:sz w:val="24"/>
        </w:rPr>
        <w:t xml:space="preserve"> </w:t>
      </w:r>
      <w:r w:rsidRPr="00590CA3">
        <w:rPr>
          <w:rFonts w:ascii="Arial" w:eastAsia="Calibri" w:hAnsi="Arial" w:cs="Arial"/>
          <w:i/>
          <w:iCs/>
          <w:sz w:val="24"/>
        </w:rPr>
        <w:t>“por imposição do art. 4º, inciso I, da Lei nº 8.630/1993 c/c o art. 25 do Decreto nº 6.620/2008, a construção, reforma, ampliação, melhoramento, arrendamento e exploração de instalação portuária dentro da área de porto organizado depende de contrato de arrendamento, sempre através de licitação, que se rege pela Lei nº 8.666/1993 e pela Lei nº 8.987/1995”</w:t>
      </w:r>
      <w:r w:rsidRPr="00590CA3">
        <w:rPr>
          <w:rFonts w:ascii="Arial" w:eastAsia="Calibri" w:hAnsi="Arial" w:cs="Arial"/>
          <w:sz w:val="24"/>
        </w:rPr>
        <w:t xml:space="preserve">; </w:t>
      </w:r>
      <w:r w:rsidRPr="00590CA3">
        <w:rPr>
          <w:rFonts w:ascii="Arial" w:eastAsia="Calibri" w:hAnsi="Arial" w:cs="Arial"/>
          <w:b/>
          <w:bCs/>
          <w:sz w:val="24"/>
        </w:rPr>
        <w:t>2)</w:t>
      </w:r>
      <w:r w:rsidRPr="00590CA3">
        <w:rPr>
          <w:rFonts w:ascii="Arial" w:eastAsia="Calibri" w:hAnsi="Arial" w:cs="Arial"/>
          <w:sz w:val="24"/>
        </w:rPr>
        <w:t xml:space="preserve"> </w:t>
      </w:r>
      <w:r w:rsidRPr="00590CA3">
        <w:rPr>
          <w:rFonts w:ascii="Arial" w:eastAsia="Calibri" w:hAnsi="Arial" w:cs="Arial"/>
          <w:i/>
          <w:iCs/>
          <w:sz w:val="24"/>
        </w:rPr>
        <w:t>“o art. 24, inciso IV, da Lei nº 8.666/1993 lista exaustivamente as situações que dão causa a dispensa de licitação”</w:t>
      </w:r>
      <w:r w:rsidRPr="00590CA3">
        <w:rPr>
          <w:rFonts w:ascii="Arial" w:eastAsia="Calibri" w:hAnsi="Arial" w:cs="Arial"/>
          <w:sz w:val="24"/>
        </w:rPr>
        <w:t xml:space="preserve">; </w:t>
      </w:r>
      <w:r w:rsidRPr="00590CA3">
        <w:rPr>
          <w:rFonts w:ascii="Arial" w:eastAsia="Calibri" w:hAnsi="Arial" w:cs="Arial"/>
          <w:b/>
          <w:bCs/>
          <w:sz w:val="24"/>
        </w:rPr>
        <w:t>3)</w:t>
      </w:r>
      <w:r w:rsidRPr="00590CA3">
        <w:rPr>
          <w:rFonts w:ascii="Arial" w:eastAsia="Calibri" w:hAnsi="Arial" w:cs="Arial"/>
          <w:sz w:val="24"/>
        </w:rPr>
        <w:t xml:space="preserve"> </w:t>
      </w:r>
      <w:r w:rsidRPr="00590CA3">
        <w:rPr>
          <w:rFonts w:ascii="Arial" w:eastAsia="Calibri" w:hAnsi="Arial" w:cs="Arial"/>
          <w:i/>
          <w:iCs/>
          <w:sz w:val="24"/>
        </w:rPr>
        <w:t>“a necessidade de impor maior rapidez ao início das obras de construção de superestrutura para escoamento de safra de grãos não encontra amparo na Lei nº 8.666/1993 para dispensa do procedimento licitatório”</w:t>
      </w:r>
      <w:r w:rsidRPr="00590CA3">
        <w:rPr>
          <w:rFonts w:ascii="Arial" w:eastAsia="Calibri" w:hAnsi="Arial" w:cs="Arial"/>
          <w:sz w:val="24"/>
        </w:rPr>
        <w:t xml:space="preserve">; </w:t>
      </w:r>
      <w:r w:rsidRPr="00590CA3">
        <w:rPr>
          <w:rFonts w:ascii="Arial" w:eastAsia="Calibri" w:hAnsi="Arial" w:cs="Arial"/>
          <w:b/>
          <w:bCs/>
          <w:sz w:val="24"/>
        </w:rPr>
        <w:t>4</w:t>
      </w:r>
      <w:r w:rsidRPr="00590CA3">
        <w:rPr>
          <w:rFonts w:ascii="Arial" w:eastAsia="Calibri" w:hAnsi="Arial" w:cs="Arial"/>
          <w:sz w:val="24"/>
        </w:rPr>
        <w:t xml:space="preserve">) </w:t>
      </w:r>
      <w:r w:rsidRPr="00590CA3">
        <w:rPr>
          <w:rFonts w:ascii="Arial" w:eastAsia="Calibri" w:hAnsi="Arial" w:cs="Arial"/>
          <w:i/>
          <w:iCs/>
          <w:sz w:val="24"/>
        </w:rPr>
        <w:t>“não é possível realizar arrendamento para construção e exploração de instalação portuária por empresa privada sem o prévio processo licitatório, onde a empresa vencedora de posterior licitação ficaria incumbida de promover a indenização dos investimentos realizados, caso a empresa investidora não se sagrasse vencedora do certame”</w:t>
      </w:r>
      <w:r w:rsidRPr="00590CA3">
        <w:rPr>
          <w:rFonts w:ascii="Arial" w:eastAsia="Calibri" w:hAnsi="Arial" w:cs="Arial"/>
          <w:sz w:val="24"/>
        </w:rPr>
        <w:t xml:space="preserve">. Precedente citado: Acórdão n.º 1317/2009-Plenário. </w:t>
      </w:r>
      <w:r w:rsidRPr="00590CA3">
        <w:rPr>
          <w:rFonts w:ascii="Arial" w:eastAsia="Calibri" w:hAnsi="Arial" w:cs="Arial"/>
          <w:b/>
          <w:i/>
          <w:sz w:val="24"/>
        </w:rPr>
        <w:t>Acórdão n.º 420/2010-Plenário, TC-027.190/2009-6, rel. Min. José Múcio Monteiro, 10.03.2010.</w:t>
      </w:r>
    </w:p>
    <w:p w:rsidR="004B4517" w:rsidRPr="00590CA3" w:rsidRDefault="004B4517" w:rsidP="00633EA3">
      <w:pPr>
        <w:spacing w:before="120" w:after="240" w:line="240" w:lineRule="auto"/>
        <w:jc w:val="both"/>
        <w:rPr>
          <w:rFonts w:ascii="Arial" w:eastAsia="Calibri" w:hAnsi="Arial" w:cs="Arial"/>
          <w:b/>
          <w:i/>
          <w:sz w:val="24"/>
        </w:rPr>
      </w:pPr>
    </w:p>
    <w:p w:rsidR="004B4517" w:rsidRPr="00590CA3" w:rsidRDefault="004B4517" w:rsidP="00633EA3">
      <w:pPr>
        <w:spacing w:before="120" w:after="240" w:line="240" w:lineRule="auto"/>
        <w:jc w:val="both"/>
        <w:rPr>
          <w:rFonts w:ascii="Arial" w:eastAsia="Calibri" w:hAnsi="Arial" w:cs="Arial"/>
          <w:sz w:val="24"/>
        </w:rPr>
      </w:pPr>
    </w:p>
    <w:p w:rsidR="0049060C" w:rsidRPr="00590CA3" w:rsidRDefault="0049060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8.</w:t>
      </w: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Documentos exigidos das empresas contratadas para supervisão de obras</w:t>
      </w:r>
    </w:p>
    <w:p w:rsidR="004570CC" w:rsidRPr="00590CA3" w:rsidRDefault="004570CC" w:rsidP="001522A7">
      <w:pPr>
        <w:spacing w:before="120" w:after="240" w:line="360" w:lineRule="auto"/>
        <w:jc w:val="both"/>
        <w:rPr>
          <w:rFonts w:ascii="Arial" w:eastAsia="Calibri" w:hAnsi="Arial" w:cs="Arial"/>
          <w:b/>
          <w:i/>
          <w:sz w:val="24"/>
        </w:rPr>
      </w:pPr>
      <w:r w:rsidRPr="00590CA3">
        <w:rPr>
          <w:rFonts w:ascii="Arial" w:eastAsia="Calibri" w:hAnsi="Arial" w:cs="Arial"/>
          <w:sz w:val="24"/>
        </w:rPr>
        <w:t xml:space="preserve">Mediante o Acórdão n.º 1.146/2004-Plenário, foram expedidas diversas determinações ao Departamento Nacional de Infra-estrutura de Transportes (Dnit), entre elas a constante do subitem 9.2.1, no seguinte teor: </w:t>
      </w:r>
      <w:r w:rsidRPr="00590CA3">
        <w:rPr>
          <w:rFonts w:ascii="Arial" w:eastAsia="Calibri" w:hAnsi="Arial" w:cs="Arial"/>
          <w:i/>
          <w:sz w:val="24"/>
        </w:rPr>
        <w:t>“anexe a cada medição dos contratos de gerenciamento, supervisão de obras e supervisão e gerenciamento ambiental da duplicação da BR-101, trecho entre Palhoça/SC e Osório/RS, em observância ao art. 55, § 3º, da Lei 8.666/1993, ao art. 63, § 2º, inciso III, da Lei 4.320/1964 e à Decisão 90/2001 - Primeira Câmara - TCU, cópia do contrato de trabalho e das guias de recolhimento de INSS e FGTS de todos os profissionais contratados pelas empresas supervisoras ou gerenciadoras, bem como de documento assinado pelo preposto do Dnit declarando o número de horas semanais de trabalho de cada profissional, acompanhado dos locais e das tarefas executadas por eles durante o referido período de trabalho, além de cópias dos contratos de aluguel de veículos e equipamentos e respectivas faturas;”</w:t>
      </w:r>
      <w:r w:rsidRPr="00590CA3">
        <w:rPr>
          <w:rFonts w:ascii="Arial" w:eastAsia="Calibri" w:hAnsi="Arial" w:cs="Arial"/>
          <w:sz w:val="24"/>
        </w:rPr>
        <w:t xml:space="preserve">. Contra a aludida determinação, foi interposto pedido de reexame, sob o argumento de que a exigência de entrega de cópia dos contratos de trabalho, guias do INSS e do FGTS, devidamente quitadas, bem como dos contratos de aluguel de veículos e dos equipamentos, a cada medição, não estava prevista no edital da licitação que deu origem aos contratos de supervisão da BR-101/SC. Em seu voto, o relator reconheceu que </w:t>
      </w:r>
      <w:r w:rsidRPr="00590CA3">
        <w:rPr>
          <w:rFonts w:ascii="Arial" w:eastAsia="Calibri" w:hAnsi="Arial" w:cs="Arial"/>
          <w:i/>
          <w:sz w:val="24"/>
        </w:rPr>
        <w:t>“as disposições do edital acerca das medições e da comprovação dos serviços efetivamente executados pelas empresas supervisoras das obras rodoviárias do Dnit são um tanto amplas”</w:t>
      </w:r>
      <w:r w:rsidRPr="00590CA3">
        <w:rPr>
          <w:rFonts w:ascii="Arial" w:eastAsia="Calibri" w:hAnsi="Arial" w:cs="Arial"/>
          <w:sz w:val="24"/>
        </w:rPr>
        <w:t xml:space="preserve">, e que, </w:t>
      </w:r>
      <w:r w:rsidRPr="00590CA3">
        <w:rPr>
          <w:rFonts w:ascii="Arial" w:eastAsia="Calibri" w:hAnsi="Arial" w:cs="Arial"/>
          <w:i/>
          <w:sz w:val="24"/>
        </w:rPr>
        <w:t>“a rigor, os documentos citados na determinação não seriam capazes de comprovar o comparecimento desses funcionários, mas tão somente a contratação dos profissionais pela supervisora”</w:t>
      </w:r>
      <w:r w:rsidRPr="00590CA3">
        <w:rPr>
          <w:rFonts w:ascii="Arial" w:eastAsia="Calibri" w:hAnsi="Arial" w:cs="Arial"/>
          <w:sz w:val="24"/>
        </w:rPr>
        <w:t xml:space="preserve">. Havia ainda outros dois aspectos negativos na exigência. Primeiro, </w:t>
      </w:r>
      <w:r w:rsidRPr="00590CA3">
        <w:rPr>
          <w:rFonts w:ascii="Arial" w:eastAsia="Calibri" w:hAnsi="Arial" w:cs="Arial"/>
          <w:i/>
          <w:sz w:val="24"/>
        </w:rPr>
        <w:t>“ela não assegura maior eficiência da fiscalização da supervisão”</w:t>
      </w:r>
      <w:r w:rsidRPr="00590CA3">
        <w:rPr>
          <w:rFonts w:ascii="Arial" w:eastAsia="Calibri" w:hAnsi="Arial" w:cs="Arial"/>
          <w:sz w:val="24"/>
        </w:rPr>
        <w:t xml:space="preserve"> e, segundo, </w:t>
      </w:r>
      <w:r w:rsidRPr="00590CA3">
        <w:rPr>
          <w:rFonts w:ascii="Arial" w:eastAsia="Calibri" w:hAnsi="Arial" w:cs="Arial"/>
          <w:i/>
          <w:sz w:val="24"/>
        </w:rPr>
        <w:t xml:space="preserve">“a requisição de documentos fiscais-tributários alheios à competência institucional do Dnit, ou de informações de caráter comercial pertencentes à </w:t>
      </w:r>
      <w:r w:rsidRPr="00590CA3">
        <w:rPr>
          <w:rFonts w:ascii="Arial" w:eastAsia="Calibri" w:hAnsi="Arial" w:cs="Arial"/>
          <w:i/>
          <w:sz w:val="24"/>
        </w:rPr>
        <w:lastRenderedPageBreak/>
        <w:t>exclusiva órbita privada da empresa poderia ser fonte de questionamentos judiciais perenes”</w:t>
      </w:r>
      <w:r w:rsidRPr="00590CA3">
        <w:rPr>
          <w:rFonts w:ascii="Arial" w:eastAsia="Calibri" w:hAnsi="Arial" w:cs="Arial"/>
          <w:sz w:val="24"/>
        </w:rPr>
        <w:t xml:space="preserve">. Acolhendo o voto do relator, deliberou o Plenário no sentido de dar provimento parcial ao recurso, alterando-se a redação do subitem 9.2.1 do acórdão guerreado, para a seguinte: </w:t>
      </w:r>
      <w:r w:rsidRPr="00590CA3">
        <w:rPr>
          <w:rFonts w:ascii="Arial" w:eastAsia="Calibri" w:hAnsi="Arial" w:cs="Arial"/>
          <w:i/>
          <w:sz w:val="24"/>
        </w:rPr>
        <w:t>“9.2.1. no tocante aos contratos de gerenciamento e supervisão de obras rodoviárias, bem como aos demais contratos de consultoria baseados na disponibilização de profissionais e no fornecimento de veículos e equipamentos, proceda à fiscalização efetiva do cumprimento de todas as obrigações previstas no contrato, e, especialmente, do cumprimento de toda a jornada de trabalho prevista para o pessoal terceirizado, estabelecendo mecanismos de controle do comparecimento do pessoal e fazendo constar das medições ou atestações que fundamentam os processos de pagamento os elementos informativos próprios da carga horária cumprida pela contratada, devendo a autarquia requisitar da contratada, em caráter excepcional, inclusive para fins de comprovação junto à fiscalização eventualmente exercida pelo Tribunal de Contas da União, outros documentos aptos à comprovação do comparecimento do pessoal, do fornecimento dos veículos e dos equipamentos e da execução dos serviços medidos.”</w:t>
      </w:r>
      <w:r w:rsidRPr="00590CA3">
        <w:rPr>
          <w:rFonts w:ascii="Arial" w:eastAsia="Calibri" w:hAnsi="Arial" w:cs="Arial"/>
          <w:sz w:val="24"/>
        </w:rPr>
        <w:t xml:space="preserve">. Precedente citado: </w:t>
      </w:r>
      <w:r w:rsidRPr="00590CA3">
        <w:rPr>
          <w:rFonts w:ascii="Arial" w:eastAsia="Calibri" w:hAnsi="Arial" w:cs="Arial"/>
          <w:b/>
          <w:i/>
          <w:sz w:val="24"/>
        </w:rPr>
        <w:t>Acórdão n.º 2.632/2007-Plenário. Acórdão n.º 475/2010, TC-011.994/2003-9, rel. Min. Augusto Nardes, 17.03.2010.</w:t>
      </w: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10.</w:t>
      </w: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Necessidade de projeto básico em contratações emergenciais</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Contra o Acórdão n.º 1.644/2008, por meio do qual o Plenário determinou ao Departamento Nacional de Infra-estrutura de Transportes (DNIT) que, </w:t>
      </w:r>
      <w:r w:rsidRPr="00590CA3">
        <w:rPr>
          <w:rFonts w:ascii="Arial" w:eastAsia="Calibri" w:hAnsi="Arial" w:cs="Arial"/>
          <w:i/>
          <w:sz w:val="24"/>
        </w:rPr>
        <w:t>“mesmo em obras emergenciais”</w:t>
      </w:r>
      <w:r w:rsidRPr="00590CA3">
        <w:rPr>
          <w:rFonts w:ascii="Arial" w:eastAsia="Calibri" w:hAnsi="Arial" w:cs="Arial"/>
          <w:sz w:val="24"/>
        </w:rPr>
        <w:t>, providenciasse</w:t>
      </w:r>
      <w:r w:rsidRPr="00590CA3">
        <w:rPr>
          <w:rFonts w:ascii="Arial" w:eastAsia="Calibri" w:hAnsi="Arial" w:cs="Arial"/>
          <w:i/>
          <w:sz w:val="24"/>
        </w:rPr>
        <w:t xml:space="preserve"> “projeto básico com todos os elementos do art. 6º, inciso IX, da Lei nº 8.666/93, em obediência ao art. 7º, § 2º, inciso II, e 9º, da Lei nº 8.666/1993, sob pena de anulação dos contratos com base no § 6º do mesmo artigo”</w:t>
      </w:r>
      <w:r w:rsidRPr="00590CA3">
        <w:rPr>
          <w:rFonts w:ascii="Arial" w:eastAsia="Calibri" w:hAnsi="Arial" w:cs="Arial"/>
          <w:sz w:val="24"/>
        </w:rPr>
        <w:t xml:space="preserve">, foi interposto pedido de reexame, no qual a autarquia afirmou a impossibilidade de cumprimento do acórdão recorrido, em razão de não haver </w:t>
      </w:r>
      <w:r w:rsidRPr="00590CA3">
        <w:rPr>
          <w:rFonts w:ascii="Arial" w:eastAsia="Calibri" w:hAnsi="Arial" w:cs="Arial"/>
          <w:i/>
          <w:sz w:val="24"/>
        </w:rPr>
        <w:t>“tempo hábil para elaboração de um projeto básico nos termos exigidos no artigo 6º, IX, da Lei n.º 8.666/1993, quando se trata de contratação direta de obras emergenciais”</w:t>
      </w:r>
      <w:r w:rsidRPr="00590CA3">
        <w:rPr>
          <w:rFonts w:ascii="Arial" w:eastAsia="Calibri" w:hAnsi="Arial" w:cs="Arial"/>
          <w:sz w:val="24"/>
        </w:rPr>
        <w:t xml:space="preserve">. Como subsídio às suas razões </w:t>
      </w:r>
      <w:r w:rsidRPr="00590CA3">
        <w:rPr>
          <w:rFonts w:ascii="Arial" w:eastAsia="Calibri" w:hAnsi="Arial" w:cs="Arial"/>
          <w:sz w:val="24"/>
        </w:rPr>
        <w:lastRenderedPageBreak/>
        <w:t>recursais, o DNIT fez alusão ao Acórdão n.º 395/2008-Plenário, no qual restou consignado que o projeto básico para obra rodoviária de natureza emergencial e de baixa complexidade executiva pode ser substituído por planilha estimativa, devidamente fundamentada em relatório técnico. Considerando que a simples exclusão da ordem guerreada, conforme pleiteava o recorrente,</w:t>
      </w:r>
      <w:r w:rsidRPr="00590CA3">
        <w:rPr>
          <w:rFonts w:ascii="Arial" w:eastAsia="Calibri" w:hAnsi="Arial" w:cs="Arial"/>
          <w:i/>
          <w:sz w:val="24"/>
        </w:rPr>
        <w:t xml:space="preserve"> “esvaziaria de significado a determinação lá constante”</w:t>
      </w:r>
      <w:r w:rsidRPr="00590CA3">
        <w:rPr>
          <w:rFonts w:ascii="Arial" w:eastAsia="Calibri" w:hAnsi="Arial" w:cs="Arial"/>
          <w:sz w:val="24"/>
        </w:rPr>
        <w:t>, o representante do Ministério Público junto ao TCU</w:t>
      </w:r>
      <w:r w:rsidRPr="00590CA3">
        <w:rPr>
          <w:rFonts w:ascii="Arial" w:eastAsia="Calibri" w:hAnsi="Arial" w:cs="Arial"/>
          <w:i/>
          <w:sz w:val="24"/>
        </w:rPr>
        <w:t xml:space="preserve"> </w:t>
      </w:r>
      <w:r w:rsidRPr="00590CA3">
        <w:rPr>
          <w:rFonts w:ascii="Arial" w:eastAsia="Calibri" w:hAnsi="Arial" w:cs="Arial"/>
          <w:sz w:val="24"/>
        </w:rPr>
        <w:t>sugeriu a alteração do seu conteúdo, tendo em vista remanescer, como regra, a necessidade de o DNIT</w:t>
      </w:r>
      <w:r w:rsidRPr="00590CA3">
        <w:rPr>
          <w:rFonts w:ascii="Arial" w:eastAsia="Calibri" w:hAnsi="Arial" w:cs="Arial"/>
          <w:i/>
          <w:sz w:val="24"/>
        </w:rPr>
        <w:t xml:space="preserve"> “providenciar o projeto básico, sob pena de anulação dos contratos, nos termos da Lei n.º 8.666/93”</w:t>
      </w:r>
      <w:r w:rsidRPr="00590CA3">
        <w:rPr>
          <w:rFonts w:ascii="Arial" w:eastAsia="Calibri" w:hAnsi="Arial" w:cs="Arial"/>
          <w:sz w:val="24"/>
        </w:rPr>
        <w:t xml:space="preserve">. Acompanhando o </w:t>
      </w:r>
      <w:r w:rsidRPr="00590CA3">
        <w:rPr>
          <w:rFonts w:ascii="Arial" w:eastAsia="Calibri" w:hAnsi="Arial" w:cs="Arial"/>
          <w:i/>
          <w:sz w:val="24"/>
        </w:rPr>
        <w:t>Parquet especializado</w:t>
      </w:r>
      <w:r w:rsidRPr="00590CA3">
        <w:rPr>
          <w:rFonts w:ascii="Arial" w:eastAsia="Calibri" w:hAnsi="Arial" w:cs="Arial"/>
          <w:sz w:val="24"/>
        </w:rPr>
        <w:t xml:space="preserve">, o relator propôs e o Plenário decidiu dar provimento parcial ao recurso, a fim de conferir à determinação atacada a seguinte redação: </w:t>
      </w:r>
      <w:r w:rsidRPr="00590CA3">
        <w:rPr>
          <w:rFonts w:ascii="Arial" w:eastAsia="Calibri" w:hAnsi="Arial" w:cs="Arial"/>
          <w:i/>
          <w:sz w:val="24"/>
        </w:rPr>
        <w:t>“determinar ao DNIT que, mesmo em obras emergenciais, providencie projeto básico com todos os elementos do art. 6º, inciso IX, da Lei nº 8.666/93, em obediência ao art. 7º, § 2º, inciso II, e 9º, da Lei nº 8.666/1993, sob pena de anulação dos contratos com base no § 6º do mesmo artigo, ressalvando, para o caso de obras emergenciais de baixa complexidade executiva, em caráter excepcional, a possibilidade de substituição do projeto básico por planilha estimativa, desde que esta se encontre devidamente fundamentada em relatório técnico”</w:t>
      </w:r>
      <w:r w:rsidRPr="00590CA3">
        <w:rPr>
          <w:rFonts w:ascii="Arial" w:eastAsia="Calibri" w:hAnsi="Arial" w:cs="Arial"/>
          <w:sz w:val="24"/>
        </w:rPr>
        <w:t>.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2.364/2006, 103/2007 e 2.263/2008, todos do Plenário. </w:t>
      </w:r>
      <w:r w:rsidRPr="00590CA3">
        <w:rPr>
          <w:rFonts w:ascii="Arial" w:eastAsia="Calibri" w:hAnsi="Arial" w:cs="Arial"/>
          <w:b/>
          <w:i/>
          <w:sz w:val="24"/>
        </w:rPr>
        <w:t>Acórdão n.º 614/2010-Plenário, TC-007.965/2008-1, rel. Min. Valmir Campelo, 31.03.2010</w:t>
      </w:r>
      <w:r w:rsidRPr="00590CA3">
        <w:rPr>
          <w:rFonts w:ascii="Arial" w:eastAsia="Calibri" w:hAnsi="Arial" w:cs="Arial"/>
          <w:sz w:val="24"/>
        </w:rPr>
        <w:t>.</w:t>
      </w: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11.</w:t>
      </w: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Influência do prazo de execução da obra no cálculo da parcela de administração central integrante da taxa de BDI</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Mostra-se em consonância com a lógica empresarial que a parcela de administração central, integrante da taxa de Bonificação e Despesas Indiretas (BDI), seja calculada não somente pelo valor do contrato e porte da empresa, mas também em função do prazo de execução do objeto. Nesse sentido, é legítimo ao contratado pleitear compensação financeira a título de administração central, quando comprovada a ocorrência de atraso na execução do contrato que possa ser atribuído exclusivamente à Administração; </w:t>
      </w:r>
      <w:r w:rsidRPr="00590CA3">
        <w:rPr>
          <w:rFonts w:ascii="Arial" w:eastAsia="Calibri" w:hAnsi="Arial" w:cs="Arial"/>
          <w:sz w:val="24"/>
        </w:rPr>
        <w:lastRenderedPageBreak/>
        <w:t xml:space="preserve">imprescindível, ainda, que desse atraso resulte prejuízo concreto ao particular, impedindo-o de perceber, durante o período de inatividade, a devida contraprestação financeira em face da impossibilidade de vir a executar o objeto na forma avençada e, ao mesmo tempo, de aproveitar aquela fração da administração central em outro empreendimento. Foi esse o entendimento do relator ao examinar relatório de levantamento de auditoria nas obras de desenvolvimento dos sistemas de produção de óleo e gás natural da Bacia de Santos (Pólo de Mexilhão). No referido relatório, a unidade técnica identificou como indício de irregularidade a </w:t>
      </w:r>
      <w:r w:rsidRPr="00590CA3">
        <w:rPr>
          <w:rFonts w:ascii="Arial" w:eastAsia="Calibri" w:hAnsi="Arial" w:cs="Arial"/>
          <w:i/>
          <w:sz w:val="24"/>
        </w:rPr>
        <w:t>“inclusão indevida de R$ 4.211.121,89, a título de custo de administração central, no item referente ao atraso na emissão da Autorização de Serviços de construção e montagem AS-02 do 3º aditivo ao Contrato nº 0801.0031.003.07.2 [...], haja vista que o percentual máximo de 8% relativo ao custo de administração central, estabelecido no demonstrativo de formação de preços da proposta original, já está embutido no custo dos serviços que integram o aditivo, não havendo amparo legal ou contratual para que seja negociado adicionalmente novo custo de administração central em função, apenas, da extensão do prazo contratual por mais 99 dias”</w:t>
      </w:r>
      <w:r w:rsidRPr="00590CA3">
        <w:rPr>
          <w:rFonts w:ascii="Arial" w:eastAsia="Calibri" w:hAnsi="Arial" w:cs="Arial"/>
          <w:sz w:val="24"/>
        </w:rPr>
        <w:t xml:space="preserve">. Em seu voto, discordando da unidade técnica, o relator afirmou que esse raciocínio </w:t>
      </w:r>
      <w:r w:rsidRPr="00590CA3">
        <w:rPr>
          <w:rFonts w:ascii="Arial" w:eastAsia="Calibri" w:hAnsi="Arial" w:cs="Arial"/>
          <w:i/>
          <w:sz w:val="24"/>
        </w:rPr>
        <w:t>“tem margem para prevalecer somente nos casos de atraso injustificado atribuído ao contratado, o que não se conforma à situação concreta, na qual as constantes prorrogações da data prevista para emissão da AS-02, por força exclusiva da Petrobras [...], impossibilitaram o consórcio de refazer o seu planejamento inicial de modo a alocar a parcela da administração central, previamente vinculada à obra em questão, em outras atividades”</w:t>
      </w:r>
      <w:r w:rsidRPr="00590CA3">
        <w:rPr>
          <w:rFonts w:ascii="Arial" w:eastAsia="Calibri" w:hAnsi="Arial" w:cs="Arial"/>
          <w:sz w:val="24"/>
        </w:rPr>
        <w:t xml:space="preserve">. Conforme amplamente debatido, a parcela de administração central integrante da taxa de BDI tem como finalidade </w:t>
      </w:r>
      <w:r w:rsidRPr="00590CA3">
        <w:rPr>
          <w:rFonts w:ascii="Arial" w:eastAsia="Calibri" w:hAnsi="Arial" w:cs="Arial"/>
          <w:i/>
          <w:sz w:val="24"/>
        </w:rPr>
        <w:t>“cobrir despesas administrativas voltadas a dar suporte à atividade-fim da empresa, de acordo com as suas particularidades. Citam-se as despesas com os setores de finanças, contabilidade e compras, bem como salários de diretores e demais profissionais que não se vinculam diretamente às atividades contratadas, senão em caráter de apoio, viabilizando os meios necessários ao andamento dos serviços propostos”</w:t>
      </w:r>
      <w:r w:rsidRPr="00590CA3">
        <w:rPr>
          <w:rFonts w:ascii="Arial" w:eastAsia="Calibri" w:hAnsi="Arial" w:cs="Arial"/>
          <w:sz w:val="24"/>
        </w:rPr>
        <w:t xml:space="preserve">. Nesse sentido, qualquer mudança em contrato específico que venha a alterar essa estimativa inicial, tanto em razão de acréscimos de quantitativos ou inclusões de itens de serviço, quanto por força da extensão do prazo original, </w:t>
      </w:r>
      <w:r w:rsidRPr="00590CA3">
        <w:rPr>
          <w:rFonts w:ascii="Arial" w:eastAsia="Calibri" w:hAnsi="Arial" w:cs="Arial"/>
          <w:i/>
          <w:sz w:val="24"/>
        </w:rPr>
        <w:t xml:space="preserve">“deve refletir em </w:t>
      </w:r>
      <w:r w:rsidRPr="00590CA3">
        <w:rPr>
          <w:rFonts w:ascii="Arial" w:eastAsia="Calibri" w:hAnsi="Arial" w:cs="Arial"/>
          <w:i/>
          <w:sz w:val="24"/>
        </w:rPr>
        <w:lastRenderedPageBreak/>
        <w:t>aumento financeiro da parcela de administração central”</w:t>
      </w:r>
      <w:r w:rsidRPr="00590CA3">
        <w:rPr>
          <w:rFonts w:ascii="Arial" w:eastAsia="Calibri" w:hAnsi="Arial" w:cs="Arial"/>
          <w:sz w:val="24"/>
        </w:rPr>
        <w:t xml:space="preserve">. Ressaltou, no entanto, que </w:t>
      </w:r>
      <w:r w:rsidRPr="00590CA3">
        <w:rPr>
          <w:rFonts w:ascii="Arial" w:eastAsia="Calibri" w:hAnsi="Arial" w:cs="Arial"/>
          <w:i/>
          <w:sz w:val="24"/>
        </w:rPr>
        <w:t>“não basta [...] que, para se legitimar qualquer acréscimo no valor contratual previsto para a parcela de administração central, o atraso tenha sido provocado exclusivamente pela Administração. É preciso também [...] que desse atraso resulte prejuízo concreto ao particular”</w:t>
      </w:r>
      <w:r w:rsidRPr="00590CA3">
        <w:rPr>
          <w:rFonts w:ascii="Arial" w:eastAsia="Calibri" w:hAnsi="Arial" w:cs="Arial"/>
          <w:sz w:val="24"/>
        </w:rPr>
        <w:t xml:space="preserve">. O Plenário acolheu o voto do relator. </w:t>
      </w:r>
      <w:r w:rsidRPr="00590CA3">
        <w:rPr>
          <w:rFonts w:ascii="Arial" w:eastAsia="Calibri" w:hAnsi="Arial" w:cs="Arial"/>
          <w:b/>
          <w:i/>
          <w:sz w:val="24"/>
        </w:rPr>
        <w:t>Acórdão n.º 692/2010-Plenário, TC-006.536/2008-3, rel. Min. Augusto Nardes, 07.04.2010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B4517" w:rsidRPr="00590CA3" w:rsidRDefault="004B4517" w:rsidP="00633EA3">
      <w:pPr>
        <w:spacing w:before="120" w:after="240" w:line="240" w:lineRule="auto"/>
        <w:jc w:val="both"/>
        <w:rPr>
          <w:rFonts w:ascii="Arial" w:eastAsia="Calibri" w:hAnsi="Arial" w:cs="Arial"/>
          <w:sz w:val="24"/>
        </w:rPr>
      </w:pP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12.</w:t>
      </w: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IRPJ e CSLL não podem vir destacados no BDI, mas podem integrar o lucro da licitante</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A indicação destacada, na composição do BDI, do Imposto de Renda Pessoa Jurídica (IRPJ) e da Contribuição Social sobre o Lucro Líquido (CSLL) não acarreta, por si só, prejuízos ao erário, pois é legítimo que as empresas considerem esses tributos quando do cálculo da equação econômico-financeira de sua proposta. A evolução da jurisprudência do Tribunal não deve impactar as relações jurídicas já constituídas, salvo se comprovada a existência de sobrepreço. Foi esse o entendimento defendido pelo relator, ao apreciar tomada de contas especial instaurada para apurar irregularidades na aplicação de recursos transferidos pelo Ministério do Trabalho e Emprego à Secretaria de Estado do Trabalho, Emprego e Promoção Social, do Paraná (SETP/PR). Apurou-se o débito decorrente de pagamentos supostamente irregulares efetuados à Organização Brasileira de Prestação de Serviços Ltda. (Orbral) – contratada pela SETP/PR, no âmbito do Convênio n.º 55/2006, por meio do Contrato n.º 2/2006 –, atinentes aos valores do IRPJ e da CSLL. Em seu voto, o relator fez alusão ao Enunciado n.º 254 da Súmula da Jurisprudência do TCU, segundo o qual </w:t>
      </w:r>
      <w:r w:rsidRPr="00590CA3">
        <w:rPr>
          <w:rFonts w:ascii="Arial" w:eastAsia="Calibri" w:hAnsi="Arial" w:cs="Arial"/>
          <w:i/>
          <w:sz w:val="24"/>
        </w:rPr>
        <w:t xml:space="preserve">“o IRPJ - Imposto de Renda Pessoa Jurídica - e a CSLL - Contribuição Social sobre o Lucro Líquido - não se consubstanciam em despesa indireta passível de inclusão na taxa de Bonificações e Despesas Indiretas - BDI do orçamento-base da licitação, haja vista a natureza direta e </w:t>
      </w:r>
      <w:r w:rsidRPr="00590CA3">
        <w:rPr>
          <w:rFonts w:ascii="Arial" w:eastAsia="Calibri" w:hAnsi="Arial" w:cs="Arial"/>
          <w:i/>
          <w:sz w:val="24"/>
        </w:rPr>
        <w:lastRenderedPageBreak/>
        <w:t>personalística desses tributos, que oneram pessoalmente o contratado”</w:t>
      </w:r>
      <w:r w:rsidRPr="00590CA3">
        <w:rPr>
          <w:rFonts w:ascii="Arial" w:eastAsia="Calibri" w:hAnsi="Arial" w:cs="Arial"/>
          <w:sz w:val="24"/>
        </w:rPr>
        <w:t>. Observou que o Tribunal vem adotando, todavia, o entendimento de que a indicação, em destacado, desses tributos na composição de preços não acarreta, por si só, prejuízos ao erário, pois era legítimo, no passado, que as empresas os considerassem quando do cálculo da equação econômico-financeira de sua proposta de preços. Para o relator, a deliberação que inaugurou tal posicionamento – o Acórdão n.</w:t>
      </w:r>
      <w:r w:rsidRPr="00590CA3">
        <w:rPr>
          <w:rFonts w:ascii="Arial" w:eastAsia="Calibri" w:hAnsi="Arial" w:cs="Arial"/>
          <w:sz w:val="24"/>
          <w:vertAlign w:val="superscript"/>
        </w:rPr>
        <w:t>o</w:t>
      </w:r>
      <w:r w:rsidRPr="00590CA3">
        <w:rPr>
          <w:rFonts w:ascii="Arial" w:eastAsia="Calibri" w:hAnsi="Arial" w:cs="Arial"/>
          <w:sz w:val="24"/>
        </w:rPr>
        <w:t xml:space="preserve"> 1.591/2008-Plenário – não alterou o entendimento consubstanciado nos Acórdãos n.</w:t>
      </w:r>
      <w:r w:rsidRPr="00590CA3">
        <w:rPr>
          <w:rFonts w:ascii="Arial" w:eastAsia="Calibri" w:hAnsi="Arial" w:cs="Arial"/>
          <w:sz w:val="24"/>
          <w:vertAlign w:val="superscript"/>
        </w:rPr>
        <w:t>os</w:t>
      </w:r>
      <w:r w:rsidRPr="00590CA3">
        <w:rPr>
          <w:rFonts w:ascii="Arial" w:eastAsia="Calibri" w:hAnsi="Arial" w:cs="Arial"/>
          <w:sz w:val="24"/>
        </w:rPr>
        <w:t xml:space="preserve"> 325/2007 e 950/2007, ambos do Plenário. Em verdade, </w:t>
      </w:r>
      <w:r w:rsidRPr="00590CA3">
        <w:rPr>
          <w:rFonts w:ascii="Arial" w:eastAsia="Calibri" w:hAnsi="Arial" w:cs="Arial"/>
          <w:i/>
          <w:sz w:val="24"/>
        </w:rPr>
        <w:t>“ela trouxe, em atenção ao princípio da segurança jurídica, temperamento temporal aos critérios estabelecidos nesses acórdãos, passando a admitir – ressalvado se comprovada a ocorrência de sobrepreço – a inclusão do percentual dos aludidos tributos na composição do BDI para os contratos firmados anteriormente à fixação do entendimento no sentido de que tais parcelas não podem ser transferidas automaticamente ao contratante”</w:t>
      </w:r>
      <w:r w:rsidRPr="00590CA3">
        <w:rPr>
          <w:rFonts w:ascii="Arial" w:eastAsia="Calibri" w:hAnsi="Arial" w:cs="Arial"/>
          <w:sz w:val="24"/>
        </w:rPr>
        <w:t xml:space="preserve">. Ao final, ressaltou que </w:t>
      </w:r>
      <w:r w:rsidRPr="00590CA3">
        <w:rPr>
          <w:rFonts w:ascii="Arial" w:eastAsia="Calibri" w:hAnsi="Arial" w:cs="Arial"/>
          <w:i/>
          <w:sz w:val="24"/>
        </w:rPr>
        <w:t>“a jurisprudência do TCU apenas obsta a inclusão desses tributos na composição do BDI, buscando alcançar a sua padronização e, em consequência, garantir maior transparência na execução dos gastos públicos. Não quer o TCU, com isso, impedir a sua inserção na composição dos custos das empresas privadas, pois, se assim o fizesse, estaria se imiscuindo na formação de preços privados e impedindo as empresas de embutir, nos seus custos, tributos ditos diretos. Desse modo, mesmo quando não incluídos destacadamente no BDI, o TCU não pode impedir a inserção de percentual destinado à satisfação do IRPJ e da CSLL no bojo do lucro da empresa, eis que este é livremente arbitrado por ela segundo as condições de mercado e suas próprias aspirações. Assim, muito embora os tributos diretos não possam vir destacados, podem vir embutidos dentro do lucro da empresa”</w:t>
      </w:r>
      <w:r w:rsidRPr="00590CA3">
        <w:rPr>
          <w:rFonts w:ascii="Arial" w:eastAsia="Calibri" w:hAnsi="Arial" w:cs="Arial"/>
          <w:sz w:val="24"/>
        </w:rPr>
        <w:t xml:space="preserve">. Considerando, então, que o contrato celebrado com a Orbral foi firmado em 1º/6/2006 e, ainda, que não foram apontados indícios de sobrepreço pela unidade técnica, </w:t>
      </w:r>
      <w:r w:rsidRPr="00590CA3">
        <w:rPr>
          <w:rFonts w:ascii="Arial" w:eastAsia="Calibri" w:hAnsi="Arial" w:cs="Arial"/>
          <w:i/>
          <w:sz w:val="24"/>
        </w:rPr>
        <w:t>“é justo que se lhe aplique o precedente ditado pelo Acórdão 1591/2008-Plenário, devendo ser excluídos do débito apurado nos autos os valores correspondentes ao IRPJ e à CSLL”</w:t>
      </w:r>
      <w:r w:rsidRPr="00590CA3">
        <w:rPr>
          <w:rFonts w:ascii="Arial" w:eastAsia="Calibri" w:hAnsi="Arial" w:cs="Arial"/>
          <w:sz w:val="24"/>
        </w:rPr>
        <w:t xml:space="preserve">. A Segunda Câmara anuiu à conclusão do relator. Precedentes citados: </w:t>
      </w:r>
      <w:bookmarkStart w:id="2" w:name="Hit1"/>
      <w:r w:rsidRPr="00590CA3">
        <w:rPr>
          <w:rFonts w:ascii="Arial" w:eastAsia="Calibri" w:hAnsi="Arial" w:cs="Arial"/>
          <w:sz w:val="24"/>
        </w:rPr>
        <w:t>Acórdãos n.</w:t>
      </w:r>
      <w:r w:rsidRPr="00590CA3">
        <w:rPr>
          <w:rFonts w:ascii="Arial" w:eastAsia="Calibri" w:hAnsi="Arial" w:cs="Arial"/>
          <w:sz w:val="24"/>
          <w:vertAlign w:val="superscript"/>
        </w:rPr>
        <w:t>os</w:t>
      </w:r>
      <w:r w:rsidRPr="00590CA3">
        <w:rPr>
          <w:rFonts w:ascii="Arial" w:eastAsia="Calibri" w:hAnsi="Arial" w:cs="Arial"/>
          <w:sz w:val="24"/>
        </w:rPr>
        <w:t xml:space="preserve"> 581/2009, 1.906/2009, 1.984/2009 e 2.099/2009,</w:t>
      </w:r>
      <w:bookmarkEnd w:id="2"/>
      <w:r w:rsidRPr="00590CA3">
        <w:rPr>
          <w:rFonts w:ascii="Arial" w:eastAsia="Calibri" w:hAnsi="Arial" w:cs="Arial"/>
          <w:sz w:val="24"/>
        </w:rPr>
        <w:t xml:space="preserve"> todos do Plenário. </w:t>
      </w:r>
      <w:r w:rsidRPr="00590CA3">
        <w:rPr>
          <w:rFonts w:ascii="Arial" w:eastAsia="Calibri" w:hAnsi="Arial" w:cs="Arial"/>
          <w:b/>
          <w:i/>
          <w:sz w:val="24"/>
        </w:rPr>
        <w:t xml:space="preserve">Acórdão n.º </w:t>
      </w:r>
      <w:r w:rsidRPr="00590CA3">
        <w:rPr>
          <w:rFonts w:ascii="Arial" w:eastAsia="Calibri" w:hAnsi="Arial" w:cs="Arial"/>
          <w:b/>
          <w:i/>
          <w:sz w:val="24"/>
        </w:rPr>
        <w:lastRenderedPageBreak/>
        <w:t>1591/2010-2ª Câmara, TC-006.211/2008-8, rel. Min-Subst. André Luís de Carvalho, 13.04.2010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16.</w:t>
      </w: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Exigência de vínculo empregatício entre o responsável técnico e a empresa licitante, para fim de qualificação técnico-profissional</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É desnecessário, para fim de comprovação da capacitação técnico-profissional, prevista no art. 30, §1º, I, da Lei n.º 8.666/93, que o profissional mantenha vínculo empregatício, por meio de contrato de trabalho, sendo suficiente prova da existência de contrato de prestação de serviço regido pela legislação civil comum. Foi esse o entendimento defendido pelo relator, ao apreciar representação acerca de possíveis irregularidades existentes nos editais das Concorrências n.</w:t>
      </w:r>
      <w:r w:rsidRPr="00590CA3">
        <w:rPr>
          <w:rFonts w:ascii="Arial" w:eastAsia="Calibri" w:hAnsi="Arial" w:cs="Arial"/>
          <w:sz w:val="24"/>
          <w:vertAlign w:val="superscript"/>
        </w:rPr>
        <w:t>os</w:t>
      </w:r>
      <w:r w:rsidRPr="00590CA3">
        <w:rPr>
          <w:rFonts w:ascii="Arial" w:eastAsia="Calibri" w:hAnsi="Arial" w:cs="Arial"/>
          <w:sz w:val="24"/>
        </w:rPr>
        <w:t xml:space="preserve"> 016/2009, 022/2009 e 026/2009, promovidas pela Gerência Executiva do Instituto Nacional do Seguro Social em Belém/PA, para a construção de agências de atendimento da Previdência Social. A representante contrapõe-se à exigência constante do item 2.3, alíneas “c”, “e” e “f’, dos respectivos editais, que obriga a licitante a fazer prova de que o responsável técnico (engenheiro) integra o seu quadro permanente, mediante vínculo empregatício ou mesmo societário, não aceitando que ele seja profissional autônomo, contratado pela licitante para a prestação de serviço, em desacordo com a jurisprudência do TCU. A unidade técnica, em face das circunstâncias do caso concreto, manifestou-se pela procedência parcial da representação, propondo, ainda, a expedição de determinação corretiva à entidade, para futuros certames. Para o relator, </w:t>
      </w:r>
      <w:r w:rsidRPr="00590CA3">
        <w:rPr>
          <w:rFonts w:ascii="Arial" w:eastAsia="Calibri" w:hAnsi="Arial" w:cs="Arial"/>
          <w:i/>
          <w:sz w:val="24"/>
        </w:rPr>
        <w:t xml:space="preserve">“as particularidades que encerram o caso concreto justificam o encaminhamento formulado pela unidade técnica, especialmente pelos seguintes pontos destacados na instrução: a) em que pese o entendimento consolidado na jurisprudência do TCU, não houve determinação diretamente direcionada à Gerência Executiva do INSS no Pará, no sentido de exigir que a autarquia abstenha-se de limitar que a comprovação de qualificação técnico-profissional se dê exclusivamente pelos meios constantes dos editais em exame (Concorrências nº 016, 022 e 026/2009); b) a </w:t>
      </w:r>
      <w:r w:rsidRPr="00590CA3">
        <w:rPr>
          <w:rFonts w:ascii="Arial" w:eastAsia="Calibri" w:hAnsi="Arial" w:cs="Arial"/>
          <w:i/>
          <w:sz w:val="24"/>
        </w:rPr>
        <w:lastRenderedPageBreak/>
        <w:t>possibilidade de comprovação de vínculo entre o profissional e a empresa, para efeito de qualificação técnico-profissional, via contrato de prestação de serviço, ainda não é uma prática totalmente pacificada no âmbito administrativo - não obstante estar em constante evolução -, de igual sorte na esfera doutrinária; c) a exigência editalícia não ocorreu por critérios subjetivos, mas, pelo contrário, por exigência objetiva calcada em interpretação restritiva da norma, em observância aos princípios constitucionais, não podendo, assim, ser considerada manifesta ilegalidade.”</w:t>
      </w:r>
      <w:r w:rsidRPr="00590CA3">
        <w:rPr>
          <w:rFonts w:ascii="Arial" w:eastAsia="Calibri" w:hAnsi="Arial" w:cs="Arial"/>
          <w:sz w:val="24"/>
        </w:rPr>
        <w:t xml:space="preserve"> Ao final, o relator registrou que, </w:t>
      </w:r>
      <w:r w:rsidRPr="00590CA3">
        <w:rPr>
          <w:rFonts w:ascii="Arial" w:eastAsia="Calibri" w:hAnsi="Arial" w:cs="Arial"/>
          <w:i/>
          <w:sz w:val="24"/>
        </w:rPr>
        <w:t>“inobstante a restrição causada à empresa representante, não há elementos nos autos que comprovem que a exigência inquinada resultou em prejuízo à competitividade dos certames ou à obtenção da proposta mais vantajosa para a Administração. Ao contrário, os documentos constantes dos autos, pelo menos no que toca à Concorrência n.º 022/2009, demonstram que 4 (quatro) empresas participaram efetivamente da licitação, e que o preço da proposta vencedora resultou em uma diferença, a menor, de 19% em relação ao valor global estimado no edital.”</w:t>
      </w:r>
      <w:r w:rsidRPr="00590CA3">
        <w:rPr>
          <w:rFonts w:ascii="Arial" w:eastAsia="Calibri" w:hAnsi="Arial" w:cs="Arial"/>
          <w:sz w:val="24"/>
        </w:rPr>
        <w:t xml:space="preserve"> O Plenário acolheu o voto do relator.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2.297/2005, 361/2006, 291/2007, 597/2007, 1.908/2008, 2.382/2008 e 103/2009, todos do Plenário. </w:t>
      </w:r>
      <w:r w:rsidRPr="00590CA3">
        <w:rPr>
          <w:rFonts w:ascii="Arial" w:eastAsia="Calibri" w:hAnsi="Arial" w:cs="Arial"/>
          <w:b/>
          <w:i/>
          <w:sz w:val="24"/>
        </w:rPr>
        <w:t>Acórdão n.º 1043/2010-Plenário, TC-029.093/2009-1, rel. Min. José Jorge, 12.05.2010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Ilicitude da terceirização, de forma permanente, da atividade-fim da empresa licitante</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Ainda quanto à exigência editalícia que obriga a licitante a fazer prova de que o responsável técnico (engenheiro) integra o seu quadro permanente, mediante vínculo empregatício ou mesmo societário, não se aceitando que o mesmo seja profissional autônomo, contratado pela licitante para prestação de serviço, o relator salientou que a exigência fora motivada por situação anterior vivenciada pelo INSS, em decorrência de contratação de empresa para execução de obra de reforma de uma de suas agências, o que estaria a demonstrar que </w:t>
      </w:r>
      <w:r w:rsidRPr="00590CA3">
        <w:rPr>
          <w:rFonts w:ascii="Arial" w:eastAsia="Calibri" w:hAnsi="Arial" w:cs="Arial"/>
          <w:i/>
          <w:sz w:val="24"/>
        </w:rPr>
        <w:t>“os responsáveis agiram no intuito de resguardar os interesses da entidade”</w:t>
      </w:r>
      <w:r w:rsidRPr="00590CA3">
        <w:rPr>
          <w:rFonts w:ascii="Arial" w:eastAsia="Calibri" w:hAnsi="Arial" w:cs="Arial"/>
          <w:sz w:val="24"/>
        </w:rPr>
        <w:t xml:space="preserve">. Consoante informou o INSS, em causa trabalhista envolvendo engenheiro responsável técnico e a respectiva empresa contratada, o magistrado julgou que a condição de empregado estava perfeitamente caracterizada, razão pela </w:t>
      </w:r>
      <w:r w:rsidRPr="00590CA3">
        <w:rPr>
          <w:rFonts w:ascii="Arial" w:eastAsia="Calibri" w:hAnsi="Arial" w:cs="Arial"/>
          <w:sz w:val="24"/>
        </w:rPr>
        <w:lastRenderedPageBreak/>
        <w:t xml:space="preserve">qual a entidade foi condenada, subsidiariamente, ao pagamento de todos os encargos trabalhistas referentes ao período de vigência do contrato. Em seu voto, o relator fez ressalva </w:t>
      </w:r>
      <w:r w:rsidRPr="00590CA3">
        <w:rPr>
          <w:rFonts w:ascii="Arial" w:eastAsia="Calibri" w:hAnsi="Arial" w:cs="Arial"/>
          <w:i/>
          <w:sz w:val="24"/>
        </w:rPr>
        <w:t>“à conclusão lá lançada de que, a partir desse precedente, poder-se-ia afirmar que o entendimento do TCU relacionado a esse tema estaria equivocado, porquanto as circunstâncias que eventualmente balizaram a decisão do juízo trabalhista, no sentido de qualificar o prestador de serviço como empregado, não podem ser generalizadas”</w:t>
      </w:r>
      <w:r w:rsidRPr="00590CA3">
        <w:rPr>
          <w:rFonts w:ascii="Arial" w:eastAsia="Calibri" w:hAnsi="Arial" w:cs="Arial"/>
          <w:sz w:val="24"/>
        </w:rPr>
        <w:t xml:space="preserve">. Isso porque </w:t>
      </w:r>
      <w:r w:rsidRPr="00590CA3">
        <w:rPr>
          <w:rFonts w:ascii="Arial" w:eastAsia="Calibri" w:hAnsi="Arial" w:cs="Arial"/>
          <w:i/>
          <w:sz w:val="24"/>
        </w:rPr>
        <w:t>“pode ter ocorrido um desvirtuamento no contrato de prestação de serviços, levando o magistrado a considerar presentes os elementos do contrato de trabalho, como habitualidade, pessoalidade e subordinação, a teor do que dispõe o art. 3º da CLT, o que, contudo, não permite concluir que toda prestação de serviço assim o seja”</w:t>
      </w:r>
      <w:r w:rsidRPr="00590CA3">
        <w:rPr>
          <w:rFonts w:ascii="Arial" w:eastAsia="Calibri" w:hAnsi="Arial" w:cs="Arial"/>
          <w:sz w:val="24"/>
        </w:rPr>
        <w:t xml:space="preserve">. Da mesma maneira, o relator considerou que o entendimento firmado na Justiça do Trabalho, </w:t>
      </w:r>
      <w:r w:rsidRPr="00590CA3">
        <w:rPr>
          <w:rFonts w:ascii="Arial" w:eastAsia="Calibri" w:hAnsi="Arial" w:cs="Arial"/>
          <w:i/>
          <w:sz w:val="24"/>
        </w:rPr>
        <w:t>“consoante mencionado no Despacho interlocutório, no sentido de ser ilegal a terceirização da atividade-fim das empresas públicas ou privadas, não é óbice à aplicação da jurisprudência do TCU, muito menos que esta estaria a albergar ou estimular a violação aos direitos trabalhistas”</w:t>
      </w:r>
      <w:r w:rsidRPr="00590CA3">
        <w:rPr>
          <w:rFonts w:ascii="Arial" w:eastAsia="Calibri" w:hAnsi="Arial" w:cs="Arial"/>
          <w:sz w:val="24"/>
        </w:rPr>
        <w:t xml:space="preserve">. Para o relator, </w:t>
      </w:r>
      <w:r w:rsidRPr="00590CA3">
        <w:rPr>
          <w:rFonts w:ascii="Arial" w:eastAsia="Calibri" w:hAnsi="Arial" w:cs="Arial"/>
          <w:i/>
          <w:sz w:val="24"/>
        </w:rPr>
        <w:t xml:space="preserve">“não há como asseverar, </w:t>
      </w:r>
      <w:r w:rsidRPr="00590CA3">
        <w:rPr>
          <w:rFonts w:ascii="Arial" w:eastAsia="Calibri" w:hAnsi="Arial" w:cs="Arial"/>
          <w:b/>
          <w:i/>
          <w:sz w:val="24"/>
        </w:rPr>
        <w:t>a priori</w:t>
      </w:r>
      <w:r w:rsidRPr="00590CA3">
        <w:rPr>
          <w:rFonts w:ascii="Arial" w:eastAsia="Calibri" w:hAnsi="Arial" w:cs="Arial"/>
          <w:i/>
          <w:sz w:val="24"/>
        </w:rPr>
        <w:t>, que toda contratação de prestação de serviços de responsabilidade técnica configure-se terceirização da atividade-fim da empresa contratada pela Administração, o que, de forma contrária, demandaria o exame do objeto social da empresa, sua atividade principal e seu porte etc., questões que, definitivamente, refogem à competência desta Corte. [...] sem querer adentrar na seara trabalhista, verifico que os precedentes reputam como ilícita a terceirização da atividade-fim de ‘forma permanente’, o que, a meu ver, comporta particularidades, especialmente sabendo a dinâmica que marca a atuação das empresas no mercado privado, pois, numa situação de contingência ou mesmo de estratégia comercial, poderia a empresa utilizar-se do prestador de serviço para incrementar sua força de trabalho, não se configurando, por si só, a terceirização ilícita.”</w:t>
      </w:r>
      <w:r w:rsidRPr="00590CA3">
        <w:rPr>
          <w:rFonts w:ascii="Arial" w:eastAsia="Calibri" w:hAnsi="Arial" w:cs="Arial"/>
          <w:sz w:val="24"/>
        </w:rPr>
        <w:t xml:space="preserve"> Assim sendo, </w:t>
      </w:r>
      <w:r w:rsidRPr="00590CA3">
        <w:rPr>
          <w:rFonts w:ascii="Arial" w:eastAsia="Calibri" w:hAnsi="Arial" w:cs="Arial"/>
          <w:i/>
          <w:sz w:val="24"/>
        </w:rPr>
        <w:t xml:space="preserve">“conquanto possa realmente aumentar a probabilidade de que Administração Pública venha a ser responsabilizada pelo pagamento de obrigações trabalhistas, essa situação deve ser vista como exceção, não podendo, por outro lado, ser olvidado que a jurisprudência do TCU sobre o tema, desde há muito já pacificada, tem por propósito conferir maior competitividade aos certames licitatórios, atendendo, deste modo, ao </w:t>
      </w:r>
      <w:r w:rsidRPr="00590CA3">
        <w:rPr>
          <w:rFonts w:ascii="Arial" w:eastAsia="Calibri" w:hAnsi="Arial" w:cs="Arial"/>
          <w:i/>
          <w:sz w:val="24"/>
        </w:rPr>
        <w:lastRenderedPageBreak/>
        <w:t>preceito legal da busca da proposta mais vantajosa para a Administração (art. 3º, Lei n.º 8.666/1993).”</w:t>
      </w:r>
      <w:r w:rsidRPr="00590CA3">
        <w:rPr>
          <w:rFonts w:ascii="Arial" w:eastAsia="Calibri" w:hAnsi="Arial" w:cs="Arial"/>
          <w:sz w:val="24"/>
        </w:rPr>
        <w:t xml:space="preserve">. O Plenário anuiu ao entendimento do relator. </w:t>
      </w:r>
      <w:r w:rsidRPr="00590CA3">
        <w:rPr>
          <w:rFonts w:ascii="Arial" w:eastAsia="Calibri" w:hAnsi="Arial" w:cs="Arial"/>
          <w:b/>
          <w:i/>
          <w:sz w:val="24"/>
        </w:rPr>
        <w:t>Acórdão n.º 1043/2010-Plenário, TC-029.093/2009-1, rel. Min. José Jorge, 12.05.2010</w:t>
      </w:r>
      <w:r w:rsidRPr="00590CA3">
        <w:rPr>
          <w:rFonts w:ascii="Arial" w:eastAsia="Calibri" w:hAnsi="Arial" w:cs="Arial"/>
          <w:sz w:val="24"/>
        </w:rPr>
        <w:t>.</w:t>
      </w: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BDI diferenciado para fornecimento de materiais e equipamentos</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Relatório de auditoria realizada no Ministério das Cidades apontou irregularidades no Contrato n.</w:t>
      </w:r>
      <w:r w:rsidRPr="00590CA3">
        <w:rPr>
          <w:rFonts w:ascii="Arial" w:eastAsia="Calibri" w:hAnsi="Arial" w:cs="Arial"/>
          <w:sz w:val="24"/>
          <w:vertAlign w:val="superscript"/>
        </w:rPr>
        <w:t>o</w:t>
      </w:r>
      <w:r w:rsidRPr="00590CA3">
        <w:rPr>
          <w:rFonts w:ascii="Arial" w:eastAsia="Calibri" w:hAnsi="Arial" w:cs="Arial"/>
          <w:sz w:val="24"/>
        </w:rPr>
        <w:t xml:space="preserve"> 046/2008, celebrado entre a Companhia de Águas e Esgotos da Paraíba e a empresa CMR4 Engenharia e Comércio Ltda., cujo objeto era a execução de obra com vistas à ampliação do sistema de abastecimento de água em Campina Grande/PB. Em relação às irregularidades mais graves, entre elas a </w:t>
      </w:r>
      <w:r w:rsidRPr="00590CA3">
        <w:rPr>
          <w:rFonts w:ascii="Arial" w:eastAsia="Calibri" w:hAnsi="Arial" w:cs="Arial"/>
          <w:i/>
          <w:sz w:val="24"/>
        </w:rPr>
        <w:t>“adoção de licitação única, sem BDI diferenciado, para execução de serviços e fornecimento de materiais das obras de ampliação do Sistema Adutor de Campina Grande, em desacordo ao §1º do art. 23 da Lei n.</w:t>
      </w:r>
      <w:r w:rsidRPr="00590CA3">
        <w:rPr>
          <w:rFonts w:ascii="Arial" w:eastAsia="Calibri" w:hAnsi="Arial" w:cs="Arial"/>
          <w:i/>
          <w:sz w:val="24"/>
          <w:vertAlign w:val="superscript"/>
        </w:rPr>
        <w:t>o</w:t>
      </w:r>
      <w:r w:rsidRPr="00590CA3">
        <w:rPr>
          <w:rFonts w:ascii="Arial" w:eastAsia="Calibri" w:hAnsi="Arial" w:cs="Arial"/>
          <w:i/>
          <w:sz w:val="24"/>
        </w:rPr>
        <w:t xml:space="preserve"> 8.666/1993 e à jurisprudência deste Tribunal, resultando em parte significativa do superfaturamento detectado no Contrato n.</w:t>
      </w:r>
      <w:r w:rsidRPr="00590CA3">
        <w:rPr>
          <w:rFonts w:ascii="Arial" w:eastAsia="Calibri" w:hAnsi="Arial" w:cs="Arial"/>
          <w:i/>
          <w:sz w:val="24"/>
          <w:vertAlign w:val="superscript"/>
        </w:rPr>
        <w:t>o</w:t>
      </w:r>
      <w:r w:rsidRPr="00590CA3">
        <w:rPr>
          <w:rFonts w:ascii="Arial" w:eastAsia="Calibri" w:hAnsi="Arial" w:cs="Arial"/>
          <w:i/>
          <w:sz w:val="24"/>
        </w:rPr>
        <w:t xml:space="preserve"> 046/2008”</w:t>
      </w:r>
      <w:r w:rsidRPr="00590CA3">
        <w:rPr>
          <w:rFonts w:ascii="Arial" w:eastAsia="Calibri" w:hAnsi="Arial" w:cs="Arial"/>
          <w:sz w:val="24"/>
        </w:rPr>
        <w:t xml:space="preserve">, a equipe de auditoria propôs audiência dos responsáveis. Entendeu o relator assistir razão à unidade técnica, ao apontar prejuízo ao erário na execução da obra em comento, isso porque o item </w:t>
      </w:r>
      <w:r w:rsidRPr="00590CA3">
        <w:rPr>
          <w:rFonts w:ascii="Arial" w:eastAsia="Calibri" w:hAnsi="Arial" w:cs="Arial"/>
          <w:i/>
          <w:sz w:val="24"/>
        </w:rPr>
        <w:t>“Tubo em ferro fundido dúctil k-7 JE DN 600”</w:t>
      </w:r>
      <w:r w:rsidRPr="00590CA3">
        <w:rPr>
          <w:rFonts w:ascii="Arial" w:eastAsia="Calibri" w:hAnsi="Arial" w:cs="Arial"/>
          <w:sz w:val="24"/>
        </w:rPr>
        <w:t xml:space="preserve"> estava sendo adquirido com sobrepreço de 20,5% em relação à média de mercado, percentual que </w:t>
      </w:r>
      <w:r w:rsidRPr="00590CA3">
        <w:rPr>
          <w:rFonts w:ascii="Arial" w:eastAsia="Calibri" w:hAnsi="Arial" w:cs="Arial"/>
          <w:i/>
          <w:sz w:val="24"/>
        </w:rPr>
        <w:t>“praticamente coincide com o excesso de BDI admitido para o material na licitação que gerou o contrato”</w:t>
      </w:r>
      <w:r w:rsidRPr="00590CA3">
        <w:rPr>
          <w:rFonts w:ascii="Arial" w:eastAsia="Calibri" w:hAnsi="Arial" w:cs="Arial"/>
          <w:sz w:val="24"/>
        </w:rPr>
        <w:t xml:space="preserve">. O relator destacou que o TCU </w:t>
      </w:r>
      <w:r w:rsidRPr="00590CA3">
        <w:rPr>
          <w:rFonts w:ascii="Arial" w:eastAsia="Calibri" w:hAnsi="Arial" w:cs="Arial"/>
          <w:i/>
          <w:sz w:val="24"/>
        </w:rPr>
        <w:t>“tem entendido, reiteradas vezes, que o BDI de materiais como esse deve ser diferenciado”</w:t>
      </w:r>
      <w:r w:rsidRPr="00590CA3">
        <w:rPr>
          <w:rFonts w:ascii="Arial" w:eastAsia="Calibri" w:hAnsi="Arial" w:cs="Arial"/>
          <w:sz w:val="24"/>
        </w:rPr>
        <w:t>, entendimento consolidado na recente Súmula n.</w:t>
      </w:r>
      <w:r w:rsidRPr="00590CA3">
        <w:rPr>
          <w:rFonts w:ascii="Arial" w:eastAsia="Calibri" w:hAnsi="Arial" w:cs="Arial"/>
          <w:sz w:val="24"/>
          <w:vertAlign w:val="superscript"/>
        </w:rPr>
        <w:t>o</w:t>
      </w:r>
      <w:r w:rsidRPr="00590CA3">
        <w:rPr>
          <w:rFonts w:ascii="Arial" w:eastAsia="Calibri" w:hAnsi="Arial" w:cs="Arial"/>
          <w:sz w:val="24"/>
        </w:rPr>
        <w:t xml:space="preserve"> 253, que assim dispõe: </w:t>
      </w:r>
      <w:r w:rsidRPr="00590CA3">
        <w:rPr>
          <w:rFonts w:ascii="Arial" w:eastAsia="Calibri" w:hAnsi="Arial" w:cs="Arial"/>
          <w:i/>
          <w:sz w:val="24"/>
        </w:rPr>
        <w:t>“Comprovada a inviabilidade técnico-econômica de parcelamento do objeto da licitação, nos termos da legislação em vigor, os itens de fornecimento de materiais e equipamentos de natureza específica, que possam ser fornecidos por empresas com especialidades próprias e diversas, e que representem percentual significativo do preço global da obra, devem apresentar incidência de taxa de Bonificação e Despesas Indiretas - BDI reduzida, em relação à taxa aplicável aos demais itens.”</w:t>
      </w:r>
      <w:r w:rsidRPr="00590CA3">
        <w:rPr>
          <w:rFonts w:ascii="Arial" w:eastAsia="Calibri" w:hAnsi="Arial" w:cs="Arial"/>
          <w:sz w:val="24"/>
        </w:rPr>
        <w:t xml:space="preserve">. No caso concreto, esse percentual de BDI não poderia ultrapassar 10%, pois </w:t>
      </w:r>
      <w:r w:rsidRPr="00590CA3">
        <w:rPr>
          <w:rFonts w:ascii="Arial" w:eastAsia="Calibri" w:hAnsi="Arial" w:cs="Arial"/>
          <w:i/>
          <w:sz w:val="24"/>
        </w:rPr>
        <w:t xml:space="preserve">“corresponde ao </w:t>
      </w:r>
      <w:r w:rsidRPr="00590CA3">
        <w:rPr>
          <w:rFonts w:ascii="Arial" w:eastAsia="Calibri" w:hAnsi="Arial" w:cs="Arial"/>
          <w:i/>
          <w:sz w:val="24"/>
        </w:rPr>
        <w:lastRenderedPageBreak/>
        <w:t>pagamento pelos serviços de mera intermediação de materiais que poderiam ter sido diretamente adquiridos pela Administração sem sequer pagar os 10%”</w:t>
      </w:r>
      <w:r w:rsidRPr="00590CA3">
        <w:rPr>
          <w:rFonts w:ascii="Arial" w:eastAsia="Calibri" w:hAnsi="Arial" w:cs="Arial"/>
          <w:sz w:val="24"/>
        </w:rPr>
        <w:t xml:space="preserve">. Para o relator, mais conveniente do que promover a audiência dos responsáveis, como propôs a unidade técnica, seria </w:t>
      </w:r>
      <w:r w:rsidRPr="00590CA3">
        <w:rPr>
          <w:rFonts w:ascii="Arial" w:eastAsia="Calibri" w:hAnsi="Arial" w:cs="Arial"/>
          <w:i/>
          <w:sz w:val="24"/>
        </w:rPr>
        <w:t>“converter o processo em Tomada de Contas Especial, para fins de citação, tendo em vista que, caso não acolhidas as alegações de defesa, deverá haver o ressarcimento dos valores indevidamente despendidos pela Administração”</w:t>
      </w:r>
      <w:r w:rsidRPr="00590CA3">
        <w:rPr>
          <w:rFonts w:ascii="Arial" w:eastAsia="Calibri" w:hAnsi="Arial" w:cs="Arial"/>
          <w:sz w:val="24"/>
        </w:rPr>
        <w:t xml:space="preserve">. Na condição de </w:t>
      </w:r>
      <w:r w:rsidRPr="00590CA3">
        <w:rPr>
          <w:rFonts w:ascii="Arial" w:eastAsia="Calibri" w:hAnsi="Arial" w:cs="Arial"/>
          <w:i/>
          <w:sz w:val="24"/>
        </w:rPr>
        <w:t>“terceiro interessado na prática do ato”</w:t>
      </w:r>
      <w:r w:rsidRPr="00590CA3">
        <w:rPr>
          <w:rFonts w:ascii="Arial" w:eastAsia="Calibri" w:hAnsi="Arial" w:cs="Arial"/>
          <w:sz w:val="24"/>
        </w:rPr>
        <w:t xml:space="preserve">, concorrendo para o cometimento do dano apurado, </w:t>
      </w:r>
      <w:r w:rsidRPr="00590CA3">
        <w:rPr>
          <w:rFonts w:ascii="Arial" w:eastAsia="Calibri" w:hAnsi="Arial" w:cs="Arial"/>
          <w:i/>
          <w:sz w:val="24"/>
        </w:rPr>
        <w:t>“a empresa contratada também deverá ser citada”</w:t>
      </w:r>
      <w:r w:rsidRPr="00590CA3">
        <w:rPr>
          <w:rFonts w:ascii="Arial" w:eastAsia="Calibri" w:hAnsi="Arial" w:cs="Arial"/>
          <w:sz w:val="24"/>
        </w:rPr>
        <w:t xml:space="preserve">. E, como a obra ainda não está concluída, </w:t>
      </w:r>
      <w:r w:rsidRPr="00590CA3">
        <w:rPr>
          <w:rFonts w:ascii="Arial" w:eastAsia="Calibri" w:hAnsi="Arial" w:cs="Arial"/>
          <w:i/>
          <w:sz w:val="24"/>
        </w:rPr>
        <w:t>“forçoso realizar as oitivas necessárias do órgão contratante e da empresa executora para que se pronunciem sobre o excesso de preço apontado [...], que poderá resultar em determinação deste Tribunal para repactuação dos preços unitários”</w:t>
      </w:r>
      <w:r w:rsidRPr="00590CA3">
        <w:rPr>
          <w:rFonts w:ascii="Arial" w:eastAsia="Calibri" w:hAnsi="Arial" w:cs="Arial"/>
          <w:sz w:val="24"/>
        </w:rPr>
        <w:t>. O Plenário, por unanimidade, acolheu a proposição do relator.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1.600/2003, 1.020/2007, 1.599/2008 e 2.875/2008, todos do Plenário. </w:t>
      </w:r>
      <w:r w:rsidRPr="00590CA3">
        <w:rPr>
          <w:rFonts w:ascii="Arial" w:eastAsia="Calibri" w:hAnsi="Arial" w:cs="Arial"/>
          <w:b/>
          <w:i/>
          <w:sz w:val="24"/>
        </w:rPr>
        <w:t>Acórdão n.º 1021/2010-Plenário, TC-000.337/2010-2, rel. Min-Subst. Marcos Bemquerer Costa, 12.05.2010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19.</w:t>
      </w: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Exigência, para fim de habilitação, de que a visita ao local das obras seja realizada pelo responsável técnico da licitante</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Representação formulada ao TCU apontou supostas irregularidades em editais de tomadas de preços promovidas pela Prefeitura Municipal de Chã Preta/AL, visando à construção do mercado público municipal e de um campo de futebol, utilizando recursos federais transferidos mediante convênios. Ao examinar os editais, a unidade técnica constatou que o subitem 6.1 (</w:t>
      </w:r>
      <w:r w:rsidRPr="00590CA3">
        <w:rPr>
          <w:rFonts w:ascii="Arial" w:eastAsia="Calibri" w:hAnsi="Arial" w:cs="Arial"/>
          <w:i/>
          <w:sz w:val="24"/>
        </w:rPr>
        <w:t>‘DA HABILITAÇÃO’</w:t>
      </w:r>
      <w:r w:rsidRPr="00590CA3">
        <w:rPr>
          <w:rFonts w:ascii="Arial" w:eastAsia="Calibri" w:hAnsi="Arial" w:cs="Arial"/>
          <w:sz w:val="24"/>
        </w:rPr>
        <w:t xml:space="preserve">) exigia a </w:t>
      </w:r>
      <w:r w:rsidRPr="00590CA3">
        <w:rPr>
          <w:rFonts w:ascii="Arial" w:eastAsia="Calibri" w:hAnsi="Arial" w:cs="Arial"/>
          <w:i/>
          <w:iCs/>
          <w:sz w:val="24"/>
        </w:rPr>
        <w:t>“declaração de visita ao local das obras pelo responsável técnico da licitante”</w:t>
      </w:r>
      <w:r w:rsidRPr="00590CA3">
        <w:rPr>
          <w:rFonts w:ascii="Arial" w:eastAsia="Calibri" w:hAnsi="Arial" w:cs="Arial"/>
          <w:sz w:val="24"/>
        </w:rPr>
        <w:t xml:space="preserve">. Para a unidade instrutiva, em que pese ser razoável exigir que aquele que realizar a vistoria detenha um mínimo de conhecimento técnico, </w:t>
      </w:r>
      <w:r w:rsidRPr="00590CA3">
        <w:rPr>
          <w:rFonts w:ascii="Arial" w:eastAsia="Calibri" w:hAnsi="Arial" w:cs="Arial"/>
          <w:i/>
          <w:iCs/>
          <w:sz w:val="24"/>
        </w:rPr>
        <w:t>“é descabido que deva ser realizada pelo responsável técnico da licitante”</w:t>
      </w:r>
      <w:r w:rsidRPr="00590CA3">
        <w:rPr>
          <w:rFonts w:ascii="Arial" w:eastAsia="Calibri" w:hAnsi="Arial" w:cs="Arial"/>
          <w:sz w:val="24"/>
        </w:rPr>
        <w:t xml:space="preserve">, isso porque tem sido verificado, na prática, que a exigência de vistoria prévia destina-se tão somente a evitar que a licitante, futuramente, alegue não poder </w:t>
      </w:r>
      <w:r w:rsidRPr="00590CA3">
        <w:rPr>
          <w:rFonts w:ascii="Arial" w:eastAsia="Calibri" w:hAnsi="Arial" w:cs="Arial"/>
          <w:sz w:val="24"/>
        </w:rPr>
        <w:lastRenderedPageBreak/>
        <w:t xml:space="preserve">executar o objeto da contratação, por desconhecimento de determinada peculiaridade ou condição do local de prestação do serviço. No entanto, </w:t>
      </w:r>
      <w:r w:rsidRPr="00590CA3">
        <w:rPr>
          <w:rFonts w:ascii="Arial" w:eastAsia="Calibri" w:hAnsi="Arial" w:cs="Arial"/>
          <w:i/>
          <w:iCs/>
          <w:sz w:val="24"/>
        </w:rPr>
        <w:t>“essa proteção deve ser sopesada com outros princípios da licitação, como o que preserva a isonomia, a obtenção da proposta mais vantajosa e a ampliação da competitividade”</w:t>
      </w:r>
      <w:r w:rsidRPr="00590CA3">
        <w:rPr>
          <w:rFonts w:ascii="Arial" w:eastAsia="Calibri" w:hAnsi="Arial" w:cs="Arial"/>
          <w:sz w:val="24"/>
        </w:rPr>
        <w:t xml:space="preserve">. Ficou evidente, portanto, em relação à visita técnica, </w:t>
      </w:r>
      <w:r w:rsidRPr="00590CA3">
        <w:rPr>
          <w:rFonts w:ascii="Arial" w:eastAsia="Calibri" w:hAnsi="Arial" w:cs="Arial"/>
          <w:i/>
          <w:iCs/>
          <w:sz w:val="24"/>
        </w:rPr>
        <w:t>“o exagero na imposição de que a sua realização se faça exclusivamente pelos próprios responsáveis técnicos das licitantes”</w:t>
      </w:r>
      <w:r w:rsidRPr="00590CA3">
        <w:rPr>
          <w:rFonts w:ascii="Arial" w:eastAsia="Calibri" w:hAnsi="Arial" w:cs="Arial"/>
          <w:sz w:val="24"/>
        </w:rPr>
        <w:t>. Não obstante a Prefeitura Municipal de Chã Preta/AL haver anulado as sobreditas tomadas de preços, mas diante da perspectiva da abertura de novas licitações para a execução dos objetos dos convênios firmados, o relator propôs e o Plenário decidiu expedir determinação corretiva ao ente municipal.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2028/2006-1</w:t>
      </w:r>
      <w:r w:rsidRPr="00590CA3">
        <w:rPr>
          <w:rFonts w:ascii="Arial" w:eastAsia="Calibri" w:hAnsi="Arial" w:cs="Arial"/>
          <w:sz w:val="24"/>
          <w:vertAlign w:val="superscript"/>
        </w:rPr>
        <w:t>a</w:t>
      </w:r>
      <w:r w:rsidRPr="00590CA3">
        <w:rPr>
          <w:rFonts w:ascii="Arial" w:eastAsia="Calibri" w:hAnsi="Arial" w:cs="Arial"/>
          <w:sz w:val="24"/>
        </w:rPr>
        <w:t xml:space="preserve"> Câmara e 874/2007-Plenário. </w:t>
      </w:r>
      <w:r w:rsidRPr="00590CA3">
        <w:rPr>
          <w:rFonts w:ascii="Arial" w:eastAsia="Calibri" w:hAnsi="Arial" w:cs="Arial"/>
          <w:b/>
          <w:i/>
          <w:sz w:val="24"/>
        </w:rPr>
        <w:t>Acórdão n.º 1264/2010-Plenário, TC-004.950/2010-0, rel. Min. Aroldo Cedraz, 02.06.2010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20.</w:t>
      </w: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Licitação para execução de obras custeadas com recursos de agência oficial de cooperação estrangeira ou organismo financeiro multilateral de que o Brasil seja parte</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Nos termos do art. 42, § 5º, da Lei n.º 8.666/93, para realização de obras custeadas com recursos provenientes de financiamento ou doação, oriundos de agência oficial de cooperação estrangeira ou organismo financeiro multilateral de que o Brasil seja parte, podem ser admitidos, na respectiva licitação, normas e procedimentos daquelas entidades, desde que sejam por elas exigidos para obtenção do financiamento ou doação, não conflitem com o princípio do julgamento objetivo e sejam objeto de despacho motivado do órgão executor do contrato. Foi esse o entendimento defendido pelo relator, ao apreciar relatório de levantamento de auditoria referente aos recursos alocados à </w:t>
      </w:r>
      <w:r w:rsidRPr="00590CA3">
        <w:rPr>
          <w:rFonts w:ascii="Arial" w:eastAsia="Calibri" w:hAnsi="Arial" w:cs="Arial"/>
          <w:i/>
          <w:sz w:val="24"/>
        </w:rPr>
        <w:t>“Implantação do Sistema Adutor Alto Oeste no Estado do Rio Grande do Norte – Proágua Nacional”</w:t>
      </w:r>
      <w:r w:rsidRPr="00590CA3">
        <w:rPr>
          <w:rFonts w:ascii="Arial" w:eastAsia="Calibri" w:hAnsi="Arial" w:cs="Arial"/>
          <w:sz w:val="24"/>
        </w:rPr>
        <w:t xml:space="preserve">. A equipe de auditoria identificou os seguintes indícios de irregularidade: a) ausência de critérios de aceitabilidade dos preços unitários e global, e de critérios de reajustamento de preços no edital da Licitação Competitiva Internacional n.º 1/2008; b) prática de sobrepreço, em </w:t>
      </w:r>
      <w:r w:rsidRPr="00590CA3">
        <w:rPr>
          <w:rFonts w:ascii="Arial" w:eastAsia="Calibri" w:hAnsi="Arial" w:cs="Arial"/>
          <w:sz w:val="24"/>
        </w:rPr>
        <w:lastRenderedPageBreak/>
        <w:t>ofensa aos arts. 40, X e XI, e 55, III, da Lei n.º 8.666/93; c) previsão, no Contrato n.º 1/2009, de pagamento adiantado à executora, em descumprimento ao art. 38 do Decreto n.º 93.872/1986. Em suas razões de justificativa, a Secretaria de Recursos Hídricos do Governo do Estado do Rio Grande do Norte (Semarh/RN) alegou que as obras em questão, por contarem com financiamento do Banco Interamericano de Recuperação e Desenvolvimento (BIRD), sujeitam-se a regras e diretrizes estabelecidas por esta instituição. Em seu voto, o relator destacou, todavia, que a questão da aplicabilidade das regras do BIRD já foi reiteradamente examinada pelo TCU, adotando-se, de maneira uniforme, o posicionamento de que a observância das normas e procedimentos do BIRD e do Banco Mundial não afasta a aplicação da legislação nacional no que não for com ela conflitante, sempre se observando o princípio do julgamento objetivo. E tal princípio, acrescentou, não compreende apenas a comparação das propostas formuladas pelos diversos licitantes e a seleção da considerada mais vantajosa, mas também o exame da adequabilidade interna dessas propostas. Portanto, se a Lei de Diretrizes Orçamentárias</w:t>
      </w:r>
      <w:r w:rsidRPr="00590CA3">
        <w:rPr>
          <w:rFonts w:ascii="Arial" w:eastAsia="Calibri" w:hAnsi="Arial" w:cs="Arial"/>
          <w:i/>
          <w:sz w:val="24"/>
        </w:rPr>
        <w:t xml:space="preserve"> “estabelece um parâmetro objetivo de aceitabilidade de preços, que é a observância das medianas de preço do Sinapi, o órgão executor do empreendimento só poderia deixar de observá-lo mediante despacho fundamentado”</w:t>
      </w:r>
      <w:r w:rsidRPr="00590CA3">
        <w:rPr>
          <w:rFonts w:ascii="Arial" w:eastAsia="Calibri" w:hAnsi="Arial" w:cs="Arial"/>
          <w:sz w:val="24"/>
        </w:rPr>
        <w:t xml:space="preserve">. No caso em tela, a ausência de critérios de aceitabilidade dos preços unitários e global no edital, </w:t>
      </w:r>
      <w:r w:rsidRPr="00590CA3">
        <w:rPr>
          <w:rFonts w:ascii="Arial" w:eastAsia="Calibri" w:hAnsi="Arial" w:cs="Arial"/>
          <w:i/>
          <w:sz w:val="24"/>
        </w:rPr>
        <w:t>“longe de significar mera falha formal, prejudicou a perfeita avaliação da compatibilidade dos preços apresentados pela empresa vencedora da licitação com os de mercado, ocasionando o sobrepreço na assinatura do contrato”</w:t>
      </w:r>
      <w:r w:rsidRPr="00590CA3">
        <w:rPr>
          <w:rFonts w:ascii="Arial" w:eastAsia="Calibri" w:hAnsi="Arial" w:cs="Arial"/>
          <w:sz w:val="24"/>
        </w:rPr>
        <w:t xml:space="preserve">. Ao final, o relator propôs e o Plenário decidiu aplicar multa aos responsáveis, sem prejuízo de determinar à Semarh/RN a adoção das providências necessárias à repactuação do Contrato n.º 1/2009, bem como, </w:t>
      </w:r>
      <w:r w:rsidRPr="00590CA3">
        <w:rPr>
          <w:rFonts w:ascii="Arial" w:eastAsia="Calibri" w:hAnsi="Arial" w:cs="Arial"/>
          <w:i/>
          <w:sz w:val="24"/>
        </w:rPr>
        <w:t>“ao realizar obras financiadas ou garantidas com recursos públicos federais, na condição de mutuário de empréstimo obtido junto a organismo financeiro multilateral de que o Brasil faça parte, insira nos editais de licitação cláusulas que prevejam”</w:t>
      </w:r>
      <w:r w:rsidRPr="00590CA3">
        <w:rPr>
          <w:rFonts w:ascii="Arial" w:eastAsia="Calibri" w:hAnsi="Arial" w:cs="Arial"/>
          <w:sz w:val="24"/>
        </w:rPr>
        <w:t xml:space="preserve">: divulgação prévia dos orçamentos-base para os licitantes, expressos por meio de planilhas com a estimativa das quantidades e dos preços unitários; critérios de reajuste contratual; vedação ao adiantamento de pagamentos; critérios de aceitabilidade dos preços unitários e global; interposição de recursos, pelos licitantes, contra os atos da </w:t>
      </w:r>
      <w:r w:rsidRPr="00590CA3">
        <w:rPr>
          <w:rFonts w:ascii="Arial" w:eastAsia="Calibri" w:hAnsi="Arial" w:cs="Arial"/>
          <w:sz w:val="24"/>
        </w:rPr>
        <w:lastRenderedPageBreak/>
        <w:t xml:space="preserve">Administração; vedação do </w:t>
      </w:r>
      <w:r w:rsidRPr="00590CA3">
        <w:rPr>
          <w:rFonts w:ascii="Arial" w:eastAsia="Calibri" w:hAnsi="Arial" w:cs="Arial"/>
          <w:i/>
          <w:sz w:val="24"/>
        </w:rPr>
        <w:t>“estabelecimento de preços acima dos praticados pela mediana do Sistema Sinapi”</w:t>
      </w:r>
      <w:r w:rsidRPr="00590CA3">
        <w:rPr>
          <w:rFonts w:ascii="Arial" w:eastAsia="Calibri" w:hAnsi="Arial" w:cs="Arial"/>
          <w:sz w:val="24"/>
        </w:rPr>
        <w:t>.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714/2004, 2.239/2007, 2.690/2008 e 1.312/2009, todos do Plenário. </w:t>
      </w:r>
      <w:r w:rsidRPr="00590CA3">
        <w:rPr>
          <w:rFonts w:ascii="Arial" w:eastAsia="Calibri" w:hAnsi="Arial" w:cs="Arial"/>
          <w:b/>
          <w:i/>
          <w:sz w:val="24"/>
        </w:rPr>
        <w:t>Acórdão n.º 1347/2010-Plenário, TC-010.801/2009-9, rel. Min-Subst. Marcos Bemquerer Costa, 09.06.2010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Exigência de qualificação técnica, referente à apresentação de certificado de acervo técnico, restritiva ao caráter competitivo da licitação</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O relator comunicou ao Plenário ter adotado medida cautelar determinando a suspensão da Concorrência n.º 2/SRPV-SP/2010, promovida pelo Serviço Nacional de Proteção ao Voo de São Paulo (SRPV/SP), até que o Tribunal decida sobre o mérito das questões suscitadas em processo de representação. O certame tem por objeto a contratação de empresa de engenharia para execução de serviços referentes à revitalização e reestruturação da alimentação elétrica do Sistema ILS (</w:t>
      </w:r>
      <w:r w:rsidRPr="00590CA3">
        <w:rPr>
          <w:rFonts w:ascii="Arial" w:eastAsia="Calibri" w:hAnsi="Arial" w:cs="Arial"/>
          <w:b/>
          <w:sz w:val="24"/>
        </w:rPr>
        <w:t>Instrument Landing System</w:t>
      </w:r>
      <w:r w:rsidRPr="00590CA3">
        <w:rPr>
          <w:rFonts w:ascii="Arial" w:eastAsia="Calibri" w:hAnsi="Arial" w:cs="Arial"/>
          <w:sz w:val="24"/>
        </w:rPr>
        <w:t xml:space="preserve">) e das subestações remotas das pistas de pouso e decolagem do Aeroporto Internacional do Rio de Janeiro. Com relação à exigência aos licitantes, para fim de qualificação técnica, da apresentação de certificado de acervo técnico (CAT) referente a serviços de engenharia em Sistemas ILS, o relator anuiu à conclusão da unidade técnica, no sentido de que as justificativas apresentadas pelo SRPV/SP não lograram caracterizar sua imprescindibilidade. Consoante demonstrado pelo órgão instrutivo, o objeto da licitação </w:t>
      </w:r>
      <w:r w:rsidRPr="00590CA3">
        <w:rPr>
          <w:rFonts w:ascii="Arial" w:eastAsia="Calibri" w:hAnsi="Arial" w:cs="Arial"/>
          <w:i/>
          <w:iCs/>
          <w:sz w:val="24"/>
        </w:rPr>
        <w:t>“poderia ser realizado por qualquer empresa especializada em serviços de engenharia, não se sustentando, em princípio, o requisito de habilitação em tela”</w:t>
      </w:r>
      <w:r w:rsidRPr="00590CA3">
        <w:rPr>
          <w:rFonts w:ascii="Arial" w:eastAsia="Calibri" w:hAnsi="Arial" w:cs="Arial"/>
          <w:sz w:val="24"/>
        </w:rPr>
        <w:t xml:space="preserve">. Segundo o relator, tal exigência pode ter acarretado restrição ao caráter competitivo do certame, revelando-se, pois, suficiente para a caracterização do </w:t>
      </w:r>
      <w:r w:rsidRPr="00590CA3">
        <w:rPr>
          <w:rFonts w:ascii="Arial" w:eastAsia="Calibri" w:hAnsi="Arial" w:cs="Arial"/>
          <w:b/>
          <w:sz w:val="24"/>
        </w:rPr>
        <w:t>fumus boni iuris</w:t>
      </w:r>
      <w:r w:rsidRPr="00590CA3">
        <w:rPr>
          <w:rFonts w:ascii="Arial" w:eastAsia="Calibri" w:hAnsi="Arial" w:cs="Arial"/>
          <w:sz w:val="24"/>
        </w:rPr>
        <w:t xml:space="preserve">. Outro aspecto fulcral referente ao caso em tela era a informação de que a abertura das propostas estaria prestes a ocorrer, fato que, conjugado com o indício de sobrepreço aduzido pela unidade técnica, revelava considerável risco ao erário, caracterizando, para o relator, o </w:t>
      </w:r>
      <w:r w:rsidRPr="00590CA3">
        <w:rPr>
          <w:rFonts w:ascii="Arial" w:eastAsia="Calibri" w:hAnsi="Arial" w:cs="Arial"/>
          <w:b/>
          <w:sz w:val="24"/>
        </w:rPr>
        <w:t>periculum in mora</w:t>
      </w:r>
      <w:r w:rsidRPr="00590CA3">
        <w:rPr>
          <w:rFonts w:ascii="Arial" w:eastAsia="Calibri" w:hAnsi="Arial" w:cs="Arial"/>
          <w:sz w:val="24"/>
        </w:rPr>
        <w:t xml:space="preserve">. O Plenário referendou a cautelar. </w:t>
      </w:r>
      <w:r w:rsidRPr="00590CA3">
        <w:rPr>
          <w:rFonts w:ascii="Arial" w:eastAsia="Calibri" w:hAnsi="Arial" w:cs="Arial"/>
          <w:b/>
          <w:i/>
          <w:sz w:val="24"/>
        </w:rPr>
        <w:t>Decisão monocrática no TC-012.670/2010-3, rel. Min-Subst. Marcos Bemquerer Costa, 09.06.2010</w:t>
      </w:r>
      <w:r w:rsidRPr="00590CA3">
        <w:rPr>
          <w:rFonts w:ascii="Arial" w:eastAsia="Calibri" w:hAnsi="Arial" w:cs="Arial"/>
          <w:sz w:val="24"/>
        </w:rPr>
        <w:t>.</w:t>
      </w: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21.</w:t>
      </w: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Diferenciação entre o BDI de fornecimento de materiais e o dos serviços de engenharia</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Na impossibilidade técnica e econômica, devidamente justificada, de o contratante parcelar o objeto da contratação em licitações autônomas, e sendo o fornecimento de materiais e equipamentos de grande materialidade, faz-se necessária a diferenciação entre o BDI de fornecimento de materiais e o dos serviços de engenharia, para enquadrar o primeiro em patamares geralmente aceitos pelo Tribunal. Foi esse o entendimento defendido pelo relator, ao apreciar pedido de reexame interposto contra as seguintes determinações insertas no Acórdão n.º 2.875/2008-Plenário: </w:t>
      </w:r>
      <w:r w:rsidRPr="00590CA3">
        <w:rPr>
          <w:rFonts w:ascii="Arial" w:eastAsia="Calibri" w:hAnsi="Arial" w:cs="Arial"/>
          <w:i/>
          <w:sz w:val="24"/>
        </w:rPr>
        <w:t>“9.12. determinar à Empresa Maranhense de Administração Portuária - Emap, no que tange à execução do Contrato 80/2006 – Emap [...], que adote as providências necessárias com vistas a efetuar sua repactuação junto à empresa Serveng-Civilsan S.A. Empresas Associadas de Engenharia de modo a: [...] 9.12.3. prever BDI diferenciado para os equipamentos complementares do cais [...], de forma a adotar, exclusivamente para esses equipamentos, percentuais aceitáveis e compatíveis com o empreendimento, observando-se os parâmetros usualmente admitidos pela jurisprudência do TCU, a qual indica a aceitação de percentual máximo de 10% para a simples aquisição/intermediação perante terceiros, cabendo à própria Emap verificar, junto à empresa Serveng-Civilsan, a necessidade de restrição desse percentual a apenas itens fornecidos por terceiros, caso se constate que os serviços inerentes à montagem ou instalação, indicados na composição do custo unitário, estejam a cargo da própria empresa [...]; 9.12.4. excluir da base de cálculo, sobre a qual incidirá o BDI geral do contrato, o montante dos custos associados aos equipamentos complementares do cais, visto que sobre estes deverá incidir BDI específico, em cumprimento ao subitem 9.12.3 retro;”</w:t>
      </w:r>
      <w:r w:rsidRPr="00590CA3">
        <w:rPr>
          <w:rFonts w:ascii="Arial" w:eastAsia="Calibri" w:hAnsi="Arial" w:cs="Arial"/>
          <w:iCs/>
          <w:sz w:val="24"/>
        </w:rPr>
        <w:t xml:space="preserve">. Em seu voto, o relator destacou que a </w:t>
      </w:r>
      <w:r w:rsidRPr="00590CA3">
        <w:rPr>
          <w:rFonts w:ascii="Arial" w:eastAsia="Calibri" w:hAnsi="Arial" w:cs="Arial"/>
          <w:sz w:val="24"/>
        </w:rPr>
        <w:t xml:space="preserve">aplicação indiscriminada e de forma linear de percentual geral de BDI sobre todos os itens da planilha de preços anexa aos contratos relacionados ao empreendimento, mesmo sobre aqueles itens significativos, em que a contratada atua como mera intermediadora no fornecimento de equipamentos </w:t>
      </w:r>
      <w:r w:rsidRPr="00590CA3">
        <w:rPr>
          <w:rFonts w:ascii="Arial" w:eastAsia="Calibri" w:hAnsi="Arial" w:cs="Arial"/>
          <w:sz w:val="24"/>
        </w:rPr>
        <w:lastRenderedPageBreak/>
        <w:t xml:space="preserve">por terceiros e para os quais é tecnicamente inviável a realização de licitação separada, termina por onerar excessivamente a equação econômico-financeira, em desfavor da administração pública. A corroborar o seu entendimento, o relator ressaltou a recém-editada Súmula de Jurisprudência n.º 253, que assim dispõe: </w:t>
      </w:r>
      <w:r w:rsidRPr="00590CA3">
        <w:rPr>
          <w:rFonts w:ascii="Arial" w:eastAsia="Calibri" w:hAnsi="Arial" w:cs="Arial"/>
          <w:i/>
          <w:sz w:val="24"/>
        </w:rPr>
        <w:t>“Comprovada a inviabilidade técnico-econômica de parcelamento do objeto da licitação, nos termos da legislação em vigor, os itens de fornecimento de materiais e equipamentos, de natureza específica, que possam ser fornecidos por empresas com especialidades próprias e diversas, e que representem percentual significativo do preço global da obra, devem apresentar incidência de taxa de Bonificação e Despesas Indiretas (BDI) reduzida em relação à taxa aplicável aos demais itens.”</w:t>
      </w:r>
      <w:r w:rsidRPr="00590CA3">
        <w:rPr>
          <w:rFonts w:ascii="Arial" w:eastAsia="Calibri" w:hAnsi="Arial" w:cs="Arial"/>
          <w:sz w:val="24"/>
        </w:rPr>
        <w:t xml:space="preserve">. Ao final, o relator propôs e o Plenário decidiu negar provimento ao recurso. Precedente citado: Acórdão n.º 2.158/2008-Plenário. </w:t>
      </w:r>
      <w:r w:rsidRPr="00590CA3">
        <w:rPr>
          <w:rFonts w:ascii="Arial" w:eastAsia="Calibri" w:hAnsi="Arial" w:cs="Arial"/>
          <w:b/>
          <w:i/>
          <w:sz w:val="24"/>
        </w:rPr>
        <w:t>Acórdão n.º 1368/2010-Plenário, TC-024.699/2009-5, rel. Min. Walton Alencar Rodrigues, 16.06.2010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22.</w:t>
      </w: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Necessidade de anexar ao edital cópia do orçamento estimado em planilhas de quantitativos e preços unitários</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Outro achado de auditoria nas obras do Terminal de São Sebastião e dos oleodutos Osvat e Osbat, no Estado de São Paulo, foi a </w:t>
      </w:r>
      <w:r w:rsidRPr="00590CA3">
        <w:rPr>
          <w:rFonts w:ascii="Arial" w:eastAsia="Calibri" w:hAnsi="Arial" w:cs="Arial"/>
          <w:i/>
          <w:sz w:val="24"/>
        </w:rPr>
        <w:t>“ausência nos autos de planilha orçamentária detalhada da Petrobras com relação ao Contrato 845.2.119.02-5, em desacordo com o art. 7º, § 2º, inciso II, da Lei 8.666/1993”</w:t>
      </w:r>
      <w:r w:rsidRPr="00590CA3">
        <w:rPr>
          <w:rFonts w:ascii="Arial" w:eastAsia="Calibri" w:hAnsi="Arial" w:cs="Arial"/>
          <w:sz w:val="24"/>
        </w:rPr>
        <w:t xml:space="preserve">. Preliminarmente, o relator ressaltou que este e outros achados estariam relacionados a uma irregularidade em comum, qual seja, a </w:t>
      </w:r>
      <w:r w:rsidRPr="00590CA3">
        <w:rPr>
          <w:rFonts w:ascii="Arial" w:eastAsia="Calibri" w:hAnsi="Arial" w:cs="Arial"/>
          <w:i/>
          <w:sz w:val="24"/>
        </w:rPr>
        <w:t>“aditivação de contratos sem que tenha sido evidenciada a manutenção do equilíbrio econômico-financeiro contratual”</w:t>
      </w:r>
      <w:r w:rsidRPr="00590CA3">
        <w:rPr>
          <w:rFonts w:ascii="Arial" w:eastAsia="Calibri" w:hAnsi="Arial" w:cs="Arial"/>
          <w:sz w:val="24"/>
        </w:rPr>
        <w:t xml:space="preserve">. Em seu voto, o relator afirmou que a manutenção do valor global do contrato após a inclusão e exclusão de serviços não indica, necessariamente, a inexistência de prejuízo ao erário, haja vista a possibilidade da ocorrência de ‘jogo de planilha’, hipótese esta expressamente suscitada pela equipe de auditoria. Para o relator, a situação se agrava ante a relutância da Petrobras e de suas subsidiárias em elaborar orçamento detalhado dos serviços e obras a serem licitados, com fixação de critério de </w:t>
      </w:r>
      <w:r w:rsidRPr="00590CA3">
        <w:rPr>
          <w:rFonts w:ascii="Arial" w:eastAsia="Calibri" w:hAnsi="Arial" w:cs="Arial"/>
          <w:sz w:val="24"/>
        </w:rPr>
        <w:lastRenderedPageBreak/>
        <w:t xml:space="preserve">aceitabilidade dos preços unitários e global, nos termos do art. 40, X e § 2º, II, da Lei n.º 8.666/93. O relator também frisou que exceção a essa regra foi recentemente reconhecida pelo TCU por meio do Acórdão n.º 1.854/2009-2ª Câmara, </w:t>
      </w:r>
      <w:r w:rsidRPr="00590CA3">
        <w:rPr>
          <w:rFonts w:ascii="Arial" w:eastAsia="Calibri" w:hAnsi="Arial" w:cs="Arial"/>
          <w:i/>
          <w:sz w:val="24"/>
        </w:rPr>
        <w:t>“no sentido de ressalvar, em certas determinações, as hipóteses em que a aplicação dos comandos expedidos possa implicar prejuízo incontornável à eficiência da atividade negocial da recorrente [no caso, a Petrobras].”</w:t>
      </w:r>
      <w:r w:rsidRPr="00590CA3">
        <w:rPr>
          <w:rFonts w:ascii="Arial" w:eastAsia="Calibri" w:hAnsi="Arial" w:cs="Arial"/>
          <w:sz w:val="24"/>
        </w:rPr>
        <w:t xml:space="preserve">. No entanto, a existência de situações excepcionais que afastem a obrigatoriedade de que se faça constar, como anexo aos editais dos procedimentos licitatórios que realizar, cópia do orçamento estimado em planilhas de quantitativos e preços unitários, </w:t>
      </w:r>
      <w:r w:rsidRPr="00590CA3">
        <w:rPr>
          <w:rFonts w:ascii="Arial" w:eastAsia="Calibri" w:hAnsi="Arial" w:cs="Arial"/>
          <w:i/>
          <w:sz w:val="24"/>
        </w:rPr>
        <w:t>“não desobriga a entidade de elaborar tal orçamento, que deverá ser apresentado, sempre que solicitado, aos órgãos de controle, aos quais caberá adotar as providências necessárias para preservar o caráter sigiloso dessas informações”</w:t>
      </w:r>
      <w:r w:rsidRPr="00590CA3">
        <w:rPr>
          <w:rFonts w:ascii="Arial" w:eastAsia="Calibri" w:hAnsi="Arial" w:cs="Arial"/>
          <w:sz w:val="24"/>
        </w:rPr>
        <w:t xml:space="preserve">. Tendo em vista essa evolução jurisprudencial, o relator deixou de propor a apenação dos gestores responsáveis pela irregularidade, sem prejuízo de rejeitar as razões de justificativa por eles apresentadas, uma vez que não se encontrava devidamente justificada no processo licitatório a ausência de planilha orçamentária detalhada, referente ao Contrato n.º 845.2.119.02-5. Acolhendo o voto do relator, decidiu o Plenário determinar à Transpetro que </w:t>
      </w:r>
      <w:r w:rsidRPr="00590CA3">
        <w:rPr>
          <w:rFonts w:ascii="Arial" w:eastAsia="Calibri" w:hAnsi="Arial" w:cs="Arial"/>
          <w:i/>
          <w:sz w:val="24"/>
        </w:rPr>
        <w:t>“faça constar, como anexo aos editais dos procedimentos licitatórios que realizar, cópia do orçamento estimado em planilhas de quantitativos e preços unitários, em observância ao princípio da publicidade que permeia o Regulamento do Procedimento Licitatório Simplificado, aprovado pelo Decreto 2.745, de 24/8/1998 [...], salvo quando essa divulgação constituir óbice intransponível à atividade negocial da empresa, fato a ser devidamente justificado no processo licitatório”</w:t>
      </w:r>
      <w:r w:rsidRPr="00590CA3">
        <w:rPr>
          <w:rFonts w:ascii="Arial" w:eastAsia="Calibri" w:hAnsi="Arial" w:cs="Arial"/>
          <w:sz w:val="24"/>
        </w:rPr>
        <w:t>.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417/2002, 1.564/2003, 2.354/2006, 1.090/2007 e 87/2008, todos do Plenário. </w:t>
      </w:r>
      <w:r w:rsidRPr="00590CA3">
        <w:rPr>
          <w:rFonts w:ascii="Arial" w:eastAsia="Calibri" w:hAnsi="Arial" w:cs="Arial"/>
          <w:b/>
          <w:i/>
          <w:sz w:val="24"/>
        </w:rPr>
        <w:t>Acórdão n.º 1427/2010-Plenário, TC-010.733/2005-4, rel. Min. Aroldo Cedraz, 23.06.2010</w:t>
      </w:r>
      <w:r w:rsidRPr="00590CA3">
        <w:rPr>
          <w:rFonts w:ascii="Arial" w:eastAsia="Calibri" w:hAnsi="Arial" w:cs="Arial"/>
          <w:sz w:val="24"/>
        </w:rPr>
        <w:t>.</w:t>
      </w: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Pequena materialidade na extrapolação do limite legal para acréscimos em contrato de reforma</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Representação formulada ao TCU noticiou supostas irregularidades na reforma do prédio da nova sede do Conselho Federal de Medicina Veterinária (CFMV), </w:t>
      </w:r>
      <w:r w:rsidRPr="00590CA3">
        <w:rPr>
          <w:rFonts w:ascii="Arial" w:eastAsia="Calibri" w:hAnsi="Arial" w:cs="Arial"/>
          <w:sz w:val="24"/>
        </w:rPr>
        <w:lastRenderedPageBreak/>
        <w:t xml:space="preserve">entre elas o fato de terem sido </w:t>
      </w:r>
      <w:r w:rsidRPr="00590CA3">
        <w:rPr>
          <w:rFonts w:ascii="Arial" w:eastAsia="Calibri" w:hAnsi="Arial" w:cs="Arial"/>
          <w:i/>
          <w:sz w:val="24"/>
        </w:rPr>
        <w:t>“firmados termos aditivos com reflexo financeiro que elevaram o valor da obra acima do limite máximo legal (mais de 50% de aumento)”</w:t>
      </w:r>
      <w:r w:rsidRPr="00590CA3">
        <w:rPr>
          <w:rFonts w:ascii="Arial" w:eastAsia="Calibri" w:hAnsi="Arial" w:cs="Arial"/>
          <w:sz w:val="24"/>
        </w:rPr>
        <w:t xml:space="preserve">. O relator observou que, de fato, </w:t>
      </w:r>
      <w:r w:rsidRPr="00590CA3">
        <w:rPr>
          <w:rFonts w:ascii="Arial" w:eastAsia="Calibri" w:hAnsi="Arial" w:cs="Arial"/>
          <w:i/>
          <w:sz w:val="24"/>
        </w:rPr>
        <w:t>“houve incremento no valor pactuado de 55,7%, o que a rigor representa ofensa ao § 1º do art. 65 da Lei n.º 8.666/1993, que prevê um acréscimo máximo de 50% para contratos de reforma”</w:t>
      </w:r>
      <w:r w:rsidRPr="00590CA3">
        <w:rPr>
          <w:rFonts w:ascii="Arial" w:eastAsia="Calibri" w:hAnsi="Arial" w:cs="Arial"/>
          <w:sz w:val="24"/>
        </w:rPr>
        <w:t xml:space="preserve">. No entanto, ele concordou com a instrução da unidade técnica, ao ponderar que, restando comprovada a necessidade da efetivação desses acréscimos, a realização de novo procedimento licitatório para execução dos 5,7% que excederam o limite legal </w:t>
      </w:r>
      <w:r w:rsidRPr="00590CA3">
        <w:rPr>
          <w:rFonts w:ascii="Arial" w:eastAsia="Calibri" w:hAnsi="Arial" w:cs="Arial"/>
          <w:i/>
          <w:sz w:val="24"/>
        </w:rPr>
        <w:t>“demandaria tempo e gastos extras (com a realização de outro certame e com pagamento de custos de mobilização e desmobilização da empresa a ser contratada)”</w:t>
      </w:r>
      <w:r w:rsidRPr="00590CA3">
        <w:rPr>
          <w:rFonts w:ascii="Arial" w:eastAsia="Calibri" w:hAnsi="Arial" w:cs="Arial"/>
          <w:sz w:val="24"/>
        </w:rPr>
        <w:t xml:space="preserve">, ocasionando atrasos substanciais na obra e consequentes danos à entidade. Tendo em vista a pequena materialidade dos valores excedentes e a necessidade de conclusão do empreendimento no prazo pactuado, o relator concluiu não caber medida corretiva por parte do Tribunal, tampouco aplicação de penalidade. O Plenário anuiu à manifestação do relator. </w:t>
      </w:r>
      <w:r w:rsidRPr="00590CA3">
        <w:rPr>
          <w:rFonts w:ascii="Arial" w:eastAsia="Calibri" w:hAnsi="Arial" w:cs="Arial"/>
          <w:b/>
          <w:i/>
          <w:sz w:val="24"/>
        </w:rPr>
        <w:t>Acórdão n.º 1466/2010-Plenário, TC-004.478/2006-2, rel. Min-Subst. Marcos Bemquerer Costa, 23.06.2010</w:t>
      </w:r>
      <w:r w:rsidRPr="00590CA3">
        <w:rPr>
          <w:rFonts w:ascii="Arial" w:eastAsia="Calibri" w:hAnsi="Arial" w:cs="Arial"/>
          <w:sz w:val="24"/>
        </w:rPr>
        <w:t>.</w:t>
      </w: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Consulta prévia ao cadastro informativo de créditos não quitados do setor público federal (Cadin)</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Entre os achados identificados no relatório de levantamento de auditoria realizada nas obras do Terminal de São Sebastião e dos oleodutos Osvat e Osbat, no Estado de São Paulo, mereceu destaque a não utilização do Cadin, pela Transpetro, </w:t>
      </w:r>
      <w:r w:rsidRPr="00590CA3">
        <w:rPr>
          <w:rFonts w:ascii="Arial" w:eastAsia="Calibri" w:hAnsi="Arial" w:cs="Arial"/>
          <w:i/>
          <w:sz w:val="24"/>
        </w:rPr>
        <w:t>“como parâmetro para a exclusão da empresa Techint S/A do Convite nº 005.8.001.03.0 e para sua consequente contratação”</w:t>
      </w:r>
      <w:r w:rsidRPr="00590CA3">
        <w:rPr>
          <w:rFonts w:ascii="Arial" w:eastAsia="Calibri" w:hAnsi="Arial" w:cs="Arial"/>
          <w:sz w:val="24"/>
        </w:rPr>
        <w:t xml:space="preserve">, em desacordo com a Lei n.º 10.522/2002. Considerando não ser recente o encaminhamento de determinações à Petrobras afetas ao tema em discussão e em vista da presunção de que as determinações dirigidas àquela entidade sejam de conhecimento de suas subsidiárias, o relator concluiu que </w:t>
      </w:r>
      <w:r w:rsidRPr="00590CA3">
        <w:rPr>
          <w:rFonts w:ascii="Arial" w:eastAsia="Calibri" w:hAnsi="Arial" w:cs="Arial"/>
          <w:i/>
          <w:sz w:val="24"/>
        </w:rPr>
        <w:t>“não haveria mais razões para que este Tribunal se abstivesse de multar os agentes responsáveis pela não observância ao Cadin no âmbito da Transpetro”</w:t>
      </w:r>
      <w:r w:rsidRPr="00590CA3">
        <w:rPr>
          <w:rFonts w:ascii="Arial" w:eastAsia="Calibri" w:hAnsi="Arial" w:cs="Arial"/>
          <w:sz w:val="24"/>
        </w:rPr>
        <w:t xml:space="preserve">. Por outro lado, o relator observou que o ofício de audiência encaminhado apontou como irregularidade a </w:t>
      </w:r>
      <w:r w:rsidRPr="00590CA3">
        <w:rPr>
          <w:rFonts w:ascii="Arial" w:eastAsia="Calibri" w:hAnsi="Arial" w:cs="Arial"/>
          <w:i/>
          <w:sz w:val="24"/>
        </w:rPr>
        <w:t xml:space="preserve">“não utilização do CADIN como parâmetro para a exclusão da </w:t>
      </w:r>
      <w:r w:rsidRPr="00590CA3">
        <w:rPr>
          <w:rFonts w:ascii="Arial" w:eastAsia="Calibri" w:hAnsi="Arial" w:cs="Arial"/>
          <w:i/>
          <w:sz w:val="24"/>
        </w:rPr>
        <w:lastRenderedPageBreak/>
        <w:t xml:space="preserve">empresa Techint S/A do Convite nº 005.8.001.03.0 </w:t>
      </w:r>
      <w:r w:rsidRPr="00590CA3">
        <w:rPr>
          <w:rFonts w:ascii="Arial" w:eastAsia="Calibri" w:hAnsi="Arial" w:cs="Arial"/>
          <w:b/>
          <w:i/>
          <w:sz w:val="24"/>
        </w:rPr>
        <w:t>e para sua consequente contratação</w:t>
      </w:r>
      <w:r w:rsidRPr="00590CA3">
        <w:rPr>
          <w:rFonts w:ascii="Arial" w:eastAsia="Calibri" w:hAnsi="Arial" w:cs="Arial"/>
          <w:i/>
          <w:sz w:val="24"/>
        </w:rPr>
        <w:t>”</w:t>
      </w:r>
      <w:r w:rsidRPr="00590CA3">
        <w:rPr>
          <w:rFonts w:ascii="Arial" w:eastAsia="Calibri" w:hAnsi="Arial" w:cs="Arial"/>
          <w:sz w:val="24"/>
        </w:rPr>
        <w:t xml:space="preserve">. De acordo com o relator, o art. 6º da Lei n.º 10.522/2002 não veda a contratação de empresa inscrita no Cadin, mas apenas exige que o referido cadastro de inadimplência seja consultado previamente à </w:t>
      </w:r>
      <w:r w:rsidRPr="00590CA3">
        <w:rPr>
          <w:rFonts w:ascii="Arial" w:eastAsia="Calibri" w:hAnsi="Arial" w:cs="Arial"/>
          <w:i/>
          <w:sz w:val="24"/>
        </w:rPr>
        <w:t>“celebração de convênios, acordos, ajustes ou contratos que envolvam desembolso, a qualquer título, de recursos públicos, e respectivos aditamentos”</w:t>
      </w:r>
      <w:r w:rsidRPr="00590CA3">
        <w:rPr>
          <w:rFonts w:ascii="Arial" w:eastAsia="Calibri" w:hAnsi="Arial" w:cs="Arial"/>
          <w:sz w:val="24"/>
        </w:rPr>
        <w:t xml:space="preserve">. Com o objetivo de melhor elucidar a questão, o relator transcreveu o seguinte excerto da instrução da unidade técnica acolhida pelo relator do Acórdão n.º 2.937/2003-1ª Câmara, prolatado em sede de pedido de reexame: </w:t>
      </w:r>
      <w:r w:rsidRPr="00590CA3">
        <w:rPr>
          <w:rFonts w:ascii="Arial" w:eastAsia="Calibri" w:hAnsi="Arial" w:cs="Arial"/>
          <w:i/>
          <w:sz w:val="24"/>
        </w:rPr>
        <w:t>“No que diz respeito à determinação [...] concernente ao CADIN, assiste razão ao recorrente, visto que a Ação Direta de Inconstitucionalidade, por ele referenciada, interposta pela Confederação Nacional da Indústria relativamente aos artigos 6º (consulta prévia ao Cadastro) e 7º (impeditivo para contratações) da Medida Provisória nº 1.442, de 10/05/1996, foi, em 19/06/1996, parcialmente deferida, em sede de liminar [...]. Naquela ocasião, a eficácia do artigo 7º e seus parágrafos foi suspensa, indeferindo-se o pleito quanto ao artigo 6º, por considerar aquela Corte que ali se estabelece simples consulta, ato informativo dos órgãos que colhem os dados ali contidos, sem repercussão sobre direitos ou interesses coletivos. No mérito, em 15/06/2000, foi considerada improcedente a ação quanto ao mencionado artigo 6º e suspenso o julgamento relativamente ao artigo 7º. A partir da MP 1.863-52, de 26/08/1999, a mencionada restrição não mais constou do texto legal e de suas reedições e, por conseguinte, da Lei nº 10.522/2002, que dispõe sobre o CADIN.”</w:t>
      </w:r>
      <w:r w:rsidRPr="00590CA3">
        <w:rPr>
          <w:rFonts w:ascii="Arial" w:eastAsia="Calibri" w:hAnsi="Arial" w:cs="Arial"/>
          <w:sz w:val="24"/>
        </w:rPr>
        <w:t xml:space="preserve"> Diante desse entendimento, e tendo em vista a imprecisão no ofício de audiência enviado pelo TCU no presente caso, o relator absteve-se de sugerir qualquer tipo de apenação. Após ressaltar que não se encontrava devidamente comprovada nos autos a alegação de que, no âmbito do Convite n.º 005.8.001.03.0, o Cadin teria sido consultado, o relator propôs e o Plenário decidiu determinar à Transpetro que </w:t>
      </w:r>
      <w:r w:rsidRPr="00590CA3">
        <w:rPr>
          <w:rFonts w:ascii="Arial" w:eastAsia="Calibri" w:hAnsi="Arial" w:cs="Arial"/>
          <w:i/>
          <w:sz w:val="24"/>
        </w:rPr>
        <w:t>“realize consulta prévia ao Cadin, conforme disposto no art. 6º da Lei 10.522/2002, juntando aos respectivos processos os documentos comprobatórios dessa prática, inclusive no que concerne aos pronunciamentos emitidos nos casos em que a empresa consultada esteja registrada como inadimplente naquele cadastro”</w:t>
      </w:r>
      <w:r w:rsidRPr="00590CA3">
        <w:rPr>
          <w:rFonts w:ascii="Arial" w:eastAsia="Calibri" w:hAnsi="Arial" w:cs="Arial"/>
          <w:sz w:val="24"/>
        </w:rPr>
        <w:t>. Precedentes citados: Decisão n.º 621/2001-Plenário; Acórdão n.º 2.937/2003-</w:t>
      </w:r>
      <w:r w:rsidRPr="00590CA3">
        <w:rPr>
          <w:rFonts w:ascii="Arial" w:eastAsia="Calibri" w:hAnsi="Arial" w:cs="Arial"/>
          <w:sz w:val="24"/>
        </w:rPr>
        <w:lastRenderedPageBreak/>
        <w:t>1ª Câmara; e Acórdãos n.</w:t>
      </w:r>
      <w:r w:rsidRPr="00590CA3">
        <w:rPr>
          <w:rFonts w:ascii="Arial" w:eastAsia="Calibri" w:hAnsi="Arial" w:cs="Arial"/>
          <w:sz w:val="24"/>
          <w:vertAlign w:val="superscript"/>
        </w:rPr>
        <w:t>os</w:t>
      </w:r>
      <w:r w:rsidRPr="00590CA3">
        <w:rPr>
          <w:rFonts w:ascii="Arial" w:eastAsia="Calibri" w:hAnsi="Arial" w:cs="Arial"/>
          <w:sz w:val="24"/>
        </w:rPr>
        <w:t xml:space="preserve"> 346/2007 e 2.558/2009, ambos do Plenário. </w:t>
      </w:r>
      <w:r w:rsidRPr="00590CA3">
        <w:rPr>
          <w:rFonts w:ascii="Arial" w:eastAsia="Calibri" w:hAnsi="Arial" w:cs="Arial"/>
          <w:b/>
          <w:i/>
          <w:sz w:val="24"/>
        </w:rPr>
        <w:t>Acórdão n.º 1427/2010-Plenário, TC-010.733/2005-4, rel. Min. Aroldo Cedraz, 23.06.2010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23.</w:t>
      </w:r>
    </w:p>
    <w:p w:rsidR="004570CC" w:rsidRPr="00590CA3" w:rsidRDefault="004570CC" w:rsidP="00633EA3">
      <w:pPr>
        <w:spacing w:before="120" w:after="240" w:line="240" w:lineRule="auto"/>
        <w:jc w:val="both"/>
        <w:rPr>
          <w:rFonts w:ascii="Arial" w:eastAsia="Calibri" w:hAnsi="Arial" w:cs="Arial"/>
          <w:b/>
          <w:bCs/>
          <w:sz w:val="28"/>
        </w:rPr>
      </w:pPr>
      <w:r w:rsidRPr="00590CA3">
        <w:rPr>
          <w:rFonts w:ascii="Arial" w:eastAsia="Calibri" w:hAnsi="Arial" w:cs="Arial"/>
          <w:b/>
          <w:bCs/>
          <w:sz w:val="28"/>
        </w:rPr>
        <w:t>Distorção nos preços conhecida como “jogo de planilha”</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Representação formulada ao TCU apontou possível sobrepreço nas obras da 2ª fase do </w:t>
      </w:r>
      <w:r w:rsidRPr="00590CA3">
        <w:rPr>
          <w:rFonts w:ascii="Arial" w:eastAsia="Calibri" w:hAnsi="Arial" w:cs="Arial"/>
          <w:i/>
          <w:sz w:val="24"/>
        </w:rPr>
        <w:t>“Perímetro de Irrigação Tabuleiros Litorâneos”</w:t>
      </w:r>
      <w:r w:rsidRPr="00590CA3">
        <w:rPr>
          <w:rFonts w:ascii="Arial" w:eastAsia="Calibri" w:hAnsi="Arial" w:cs="Arial"/>
          <w:sz w:val="24"/>
        </w:rPr>
        <w:t xml:space="preserve">, no Estado do Piauí. Para subsidiar a sua conclusão, a representante elaborou laudo de avaliação dos preços praticados na proposta da licitante vencedora, comparando-os com valores de mercado e com tabelas de referência (Sicro e Sinapi). Relatório da auditoria realizada pelo TCU nas aludidas obras identificou sobrepreço no fornecimento de tubos de ferro dúctil e aço carbono de 7,09% e 2,90%, respectivamente, porém </w:t>
      </w:r>
      <w:r w:rsidRPr="00590CA3">
        <w:rPr>
          <w:rFonts w:ascii="Arial" w:eastAsia="Calibri" w:hAnsi="Arial" w:cs="Arial"/>
          <w:i/>
          <w:sz w:val="24"/>
        </w:rPr>
        <w:t>“desconto nos serviços comuns de engenharia de 5,27%, que, somados, não apresentavam sobrepreço”</w:t>
      </w:r>
      <w:r w:rsidRPr="00590CA3">
        <w:rPr>
          <w:rFonts w:ascii="Arial" w:eastAsia="Calibri" w:hAnsi="Arial" w:cs="Arial"/>
          <w:sz w:val="24"/>
        </w:rPr>
        <w:t xml:space="preserve">. Portanto, analisado de forma global, o contrato do Departamento Nacional de Obras Contra as Secas (Dnocs) não continha sobrepreço, mas a equipe de auditoria </w:t>
      </w:r>
      <w:r w:rsidRPr="00590CA3">
        <w:rPr>
          <w:rFonts w:ascii="Arial" w:eastAsia="Calibri" w:hAnsi="Arial" w:cs="Arial"/>
          <w:i/>
          <w:sz w:val="24"/>
        </w:rPr>
        <w:t>“encontrou vários itens individuais com elevado sobrepreço ou desconto em relação aos sistemas de referência”</w:t>
      </w:r>
      <w:r w:rsidRPr="00590CA3">
        <w:rPr>
          <w:rFonts w:ascii="Arial" w:eastAsia="Calibri" w:hAnsi="Arial" w:cs="Arial"/>
          <w:sz w:val="24"/>
        </w:rPr>
        <w:t xml:space="preserve">. Assim sendo, a fim de evitar a distorção nos preços conhecida como “jogo de planilha”, o relator propôs e o Plenário decidiu determinar ao Dnocs que: a) </w:t>
      </w:r>
      <w:r w:rsidRPr="00590CA3">
        <w:rPr>
          <w:rFonts w:ascii="Arial" w:eastAsia="Calibri" w:hAnsi="Arial" w:cs="Arial"/>
          <w:i/>
          <w:sz w:val="24"/>
        </w:rPr>
        <w:t>“reavalie, possibilitando à empresa contratada o prévio contraditório, os preços dos itens de fornecimento do Contrato PGE nº 44/2002, considerando os indícios de sobrepreço levantados [...] no fornecimento de tubos de ferro dúctil e aço carbono do contrato;”</w:t>
      </w:r>
      <w:r w:rsidRPr="00590CA3">
        <w:rPr>
          <w:rFonts w:ascii="Arial" w:eastAsia="Calibri" w:hAnsi="Arial" w:cs="Arial"/>
          <w:sz w:val="24"/>
        </w:rPr>
        <w:t xml:space="preserve">; b) </w:t>
      </w:r>
      <w:r w:rsidRPr="00590CA3">
        <w:rPr>
          <w:rFonts w:ascii="Arial" w:eastAsia="Calibri" w:hAnsi="Arial" w:cs="Arial"/>
          <w:i/>
          <w:sz w:val="24"/>
        </w:rPr>
        <w:t>“em caso de acréscimos de quantitativos em itens presentes na planilha orçamentária do Contrato PGE nº 44/2002 ou quando da necessidade de acrescer serviços ou materiais/equipamentos não presentes na planilha orçamentária original do contrato, adote preços comprovadamente praticados no mercado, não admitindo redução na diferença percentual entre o valor global do contrato e o obtido a partir dos custos unitários do Sinapi em favor do contratado, conforme previsto no art. 109, § 6º, da Lei nº 11.768/2008 (LDO 2009).”</w:t>
      </w:r>
      <w:r w:rsidRPr="00590CA3">
        <w:rPr>
          <w:rFonts w:ascii="Arial" w:eastAsia="Calibri" w:hAnsi="Arial" w:cs="Arial"/>
          <w:sz w:val="24"/>
        </w:rPr>
        <w:t xml:space="preserve">. </w:t>
      </w:r>
      <w:r w:rsidRPr="00590CA3">
        <w:rPr>
          <w:rFonts w:ascii="Arial" w:eastAsia="Calibri" w:hAnsi="Arial" w:cs="Arial"/>
          <w:b/>
          <w:i/>
          <w:sz w:val="24"/>
        </w:rPr>
        <w:t xml:space="preserve">Acórdão n.º </w:t>
      </w:r>
      <w:r w:rsidRPr="00590CA3">
        <w:rPr>
          <w:rFonts w:ascii="Arial" w:eastAsia="Calibri" w:hAnsi="Arial" w:cs="Arial"/>
          <w:b/>
          <w:i/>
          <w:sz w:val="24"/>
        </w:rPr>
        <w:lastRenderedPageBreak/>
        <w:t>1515/2010-Plenário, TC-008.137/2009-6, rel. Min. Benjamin Zymler, 30.06.2010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bCs/>
          <w:sz w:val="28"/>
        </w:rPr>
      </w:pPr>
      <w:r w:rsidRPr="00590CA3">
        <w:rPr>
          <w:rFonts w:ascii="Arial" w:eastAsia="Calibri" w:hAnsi="Arial" w:cs="Arial"/>
          <w:b/>
          <w:bCs/>
          <w:sz w:val="28"/>
        </w:rPr>
        <w:t>Revisão contratual para expurgo da parcela referente à extinta CPMF</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Ainda quanto ao Contrato PGE n.º 44/2002, referente às obras da 2ª fase do </w:t>
      </w:r>
      <w:r w:rsidRPr="00590CA3">
        <w:rPr>
          <w:rFonts w:ascii="Arial" w:eastAsia="Calibri" w:hAnsi="Arial" w:cs="Arial"/>
          <w:i/>
          <w:sz w:val="24"/>
        </w:rPr>
        <w:t>“Perímetro de Irrigação Tabuleiros Litorâneos”</w:t>
      </w:r>
      <w:r w:rsidRPr="00590CA3">
        <w:rPr>
          <w:rFonts w:ascii="Arial" w:eastAsia="Calibri" w:hAnsi="Arial" w:cs="Arial"/>
          <w:sz w:val="24"/>
        </w:rPr>
        <w:t xml:space="preserve">, no Estado do Piauí, a equipe de auditoria concluiu não haver qualquer evidência de que o BDI do referido contrato tivesse sido revisto para o expurgo da parcela referente à CPMF, extinta em 2007. Por essa razão, o relator propôs e o Plenário decidiu determinar ao Departamento Nacional de Obras Contra as Secas (Dnocs) que, </w:t>
      </w:r>
      <w:r w:rsidRPr="00590CA3">
        <w:rPr>
          <w:rFonts w:ascii="Arial" w:eastAsia="Calibri" w:hAnsi="Arial" w:cs="Arial"/>
          <w:i/>
          <w:sz w:val="24"/>
        </w:rPr>
        <w:t>“nos termos do art. 65, § 5º, da Lei nº 8.666/1993, formalize termo aditivo ao Contrato PGE nº 44/2002, possibilitando à empresa contratada o prévio contraditório, com vistas a reduzir os percentuais de BDI aplicáveis aos pagamentos efetuados após 31/12/2007 em decorrência da extinção da CPMF, e adote medidas para, nas faturas vincendas, compensar eventuais valores indevidamente pagos”</w:t>
      </w:r>
      <w:r w:rsidRPr="00590CA3">
        <w:rPr>
          <w:rFonts w:ascii="Arial" w:eastAsia="Calibri" w:hAnsi="Arial" w:cs="Arial"/>
          <w:sz w:val="24"/>
        </w:rPr>
        <w:t xml:space="preserve">. </w:t>
      </w:r>
      <w:r w:rsidRPr="00590CA3">
        <w:rPr>
          <w:rFonts w:ascii="Arial" w:eastAsia="Calibri" w:hAnsi="Arial" w:cs="Arial"/>
          <w:b/>
          <w:i/>
          <w:sz w:val="24"/>
        </w:rPr>
        <w:t>Acórdão n.º 1515/2010-Plenário, TC-008.137/2009-6, rel. Min. Benjamin Zymler, 30.06.2010</w:t>
      </w:r>
      <w:r w:rsidRPr="00590CA3">
        <w:rPr>
          <w:rFonts w:ascii="Arial" w:eastAsia="Calibri" w:hAnsi="Arial" w:cs="Arial"/>
          <w:sz w:val="24"/>
        </w:rPr>
        <w:t>.</w:t>
      </w: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24.</w:t>
      </w:r>
    </w:p>
    <w:p w:rsidR="004570CC" w:rsidRPr="00590CA3" w:rsidRDefault="004570CC" w:rsidP="00633EA3">
      <w:pPr>
        <w:spacing w:before="120" w:after="240" w:line="240" w:lineRule="auto"/>
        <w:jc w:val="both"/>
        <w:rPr>
          <w:rFonts w:ascii="Arial" w:eastAsia="Calibri" w:hAnsi="Arial" w:cs="Arial"/>
          <w:b/>
          <w:bCs/>
          <w:sz w:val="28"/>
        </w:rPr>
      </w:pPr>
      <w:r w:rsidRPr="00590CA3">
        <w:rPr>
          <w:rFonts w:ascii="Arial" w:eastAsia="Calibri" w:hAnsi="Arial" w:cs="Arial"/>
          <w:b/>
          <w:sz w:val="28"/>
        </w:rPr>
        <w:t>Obrigação editalícia de o responsável técnico pela obra participar da visita técnica ao local do empreendimento</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Relatório de auditoria realizada no Ministério das Cidades, referente aos recursos alocados ao </w:t>
      </w:r>
      <w:r w:rsidRPr="00590CA3">
        <w:rPr>
          <w:rFonts w:ascii="Arial" w:eastAsia="Calibri" w:hAnsi="Arial" w:cs="Arial"/>
          <w:i/>
          <w:sz w:val="24"/>
        </w:rPr>
        <w:t>“Apoio a Sistemas de Abastecimento de Água em Municípios de Regiões Metropolitanas, de Regiões Integradas de Desenvolvimento Econômico, Municípios com mais de 50 mil Habitantes ou Integrantes de Consórcios Públicos com mais de 150 mil Habitantes”</w:t>
      </w:r>
      <w:r w:rsidRPr="00590CA3">
        <w:rPr>
          <w:rFonts w:ascii="Arial" w:eastAsia="Calibri" w:hAnsi="Arial" w:cs="Arial"/>
          <w:sz w:val="24"/>
        </w:rPr>
        <w:t xml:space="preserve">, identificou como achado a </w:t>
      </w:r>
      <w:r w:rsidRPr="00590CA3">
        <w:rPr>
          <w:rFonts w:ascii="Arial" w:eastAsia="Calibri" w:hAnsi="Arial" w:cs="Arial"/>
          <w:i/>
          <w:sz w:val="24"/>
        </w:rPr>
        <w:t>“</w:t>
      </w:r>
      <w:r w:rsidRPr="00590CA3">
        <w:rPr>
          <w:rFonts w:ascii="Arial" w:eastAsia="Calibri" w:hAnsi="Arial" w:cs="Arial"/>
          <w:i/>
          <w:iCs/>
          <w:sz w:val="24"/>
        </w:rPr>
        <w:t xml:space="preserve">Restrição à competitividade da licitação, decorrente de critérios inadequados de habilitação e julgamento”. </w:t>
      </w:r>
      <w:r w:rsidRPr="00590CA3">
        <w:rPr>
          <w:rFonts w:ascii="Arial" w:eastAsia="Calibri" w:hAnsi="Arial" w:cs="Arial"/>
          <w:iCs/>
          <w:sz w:val="24"/>
        </w:rPr>
        <w:t>Isso porque, nos editais das Concorrências n.</w:t>
      </w:r>
      <w:r w:rsidRPr="00590CA3">
        <w:rPr>
          <w:rFonts w:ascii="Arial" w:eastAsia="Calibri" w:hAnsi="Arial" w:cs="Arial"/>
          <w:iCs/>
          <w:sz w:val="24"/>
          <w:vertAlign w:val="superscript"/>
        </w:rPr>
        <w:t>os</w:t>
      </w:r>
      <w:r w:rsidRPr="00590CA3">
        <w:rPr>
          <w:rFonts w:ascii="Arial" w:eastAsia="Calibri" w:hAnsi="Arial" w:cs="Arial"/>
          <w:iCs/>
          <w:sz w:val="24"/>
        </w:rPr>
        <w:t xml:space="preserve"> 166/2008, 167/2008, 168/2008 e 170/2008, realizadas pelo Governo do Estado do Acre, exigiu-se a apresentação de ‘Atestado de </w:t>
      </w:r>
      <w:r w:rsidRPr="00590CA3">
        <w:rPr>
          <w:rFonts w:ascii="Arial" w:eastAsia="Calibri" w:hAnsi="Arial" w:cs="Arial"/>
          <w:iCs/>
          <w:sz w:val="24"/>
        </w:rPr>
        <w:lastRenderedPageBreak/>
        <w:t>Visita Técnica’ emitido após visita ao local da obra/serviço pelo profissional integrante do quadro da empresa indicado como responsável técnico na licitação, em horário e data únicos, fixados no instrumento convocatório.</w:t>
      </w:r>
      <w:r w:rsidRPr="00590CA3">
        <w:rPr>
          <w:rFonts w:ascii="Arial" w:eastAsia="Calibri" w:hAnsi="Arial" w:cs="Arial"/>
          <w:i/>
          <w:iCs/>
          <w:sz w:val="24"/>
        </w:rPr>
        <w:t xml:space="preserve"> </w:t>
      </w:r>
      <w:r w:rsidRPr="00590CA3">
        <w:rPr>
          <w:rFonts w:ascii="Arial" w:eastAsia="Calibri" w:hAnsi="Arial" w:cs="Arial"/>
          <w:iCs/>
          <w:sz w:val="24"/>
        </w:rPr>
        <w:t>Para a unidade técnica, a exigência de comprovação de que a licitante tomou conhecimento de todas as informações e das condições locais para cumprimento das obrigações pertinentes ao certame tem amparo no inciso III do art. 30 da Lei n.º 8.666/1993, contudo</w:t>
      </w:r>
      <w:r w:rsidRPr="00590CA3">
        <w:rPr>
          <w:rFonts w:ascii="Arial" w:eastAsia="Calibri" w:hAnsi="Arial" w:cs="Arial"/>
          <w:i/>
          <w:iCs/>
          <w:sz w:val="24"/>
        </w:rPr>
        <w:t xml:space="preserve"> “extrapola tal preceito o requisito de que o próprio profissional a ser indicado na licitação como responsável técnico da obra deva ser o credenciado para a vistoria”. </w:t>
      </w:r>
      <w:r w:rsidRPr="00590CA3">
        <w:rPr>
          <w:rFonts w:ascii="Arial" w:eastAsia="Calibri" w:hAnsi="Arial" w:cs="Arial"/>
          <w:iCs/>
          <w:sz w:val="24"/>
        </w:rPr>
        <w:t xml:space="preserve">Além disso, </w:t>
      </w:r>
      <w:r w:rsidRPr="00590CA3">
        <w:rPr>
          <w:rFonts w:ascii="Arial" w:eastAsia="Calibri" w:hAnsi="Arial" w:cs="Arial"/>
          <w:i/>
          <w:iCs/>
          <w:sz w:val="24"/>
        </w:rPr>
        <w:t xml:space="preserve">“não se mostra razoável e não encontra abrigo na legislação o estabelecimento de vistoria no mesmo dia e horário para todos os credenciados, uma vez que esse procedimento, além de restringir a participação dos interessados, possibilita a ocorrência de ajustes entre os futuros licitantes.” </w:t>
      </w:r>
      <w:r w:rsidRPr="00590CA3">
        <w:rPr>
          <w:rFonts w:ascii="Arial" w:eastAsia="Calibri" w:hAnsi="Arial" w:cs="Arial"/>
          <w:iCs/>
          <w:sz w:val="24"/>
        </w:rPr>
        <w:t>Ao concordar com o entendimento da unidade técnica</w:t>
      </w:r>
      <w:r w:rsidRPr="00590CA3">
        <w:rPr>
          <w:rFonts w:ascii="Arial" w:eastAsia="Calibri" w:hAnsi="Arial" w:cs="Arial"/>
          <w:sz w:val="24"/>
        </w:rPr>
        <w:t xml:space="preserve">, o relator propôs e o Plenário decidiu expedir determinação corretiva ao Departamento Estadual de Água e Saneamento do Estado do Acre no sentido de que </w:t>
      </w:r>
      <w:r w:rsidRPr="00590CA3">
        <w:rPr>
          <w:rFonts w:ascii="Arial" w:eastAsia="Calibri" w:hAnsi="Arial" w:cs="Arial"/>
          <w:i/>
          <w:sz w:val="24"/>
        </w:rPr>
        <w:t>“abstenha-se de estabelecer, em licitações que venham a contar com recursos federais, cláusulas impondo a obrigatoriedade de comparecimento ao local das obras [...], sendo suficiente a declaração do licitante de que conhece as condições locais para a execução do objeto”</w:t>
      </w:r>
      <w:r w:rsidRPr="00590CA3">
        <w:rPr>
          <w:rFonts w:ascii="Arial" w:eastAsia="Calibri" w:hAnsi="Arial" w:cs="Arial"/>
          <w:sz w:val="24"/>
        </w:rPr>
        <w:t>.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2.150/2008 e 1.174/2008, ambos do Plenário. </w:t>
      </w:r>
      <w:r w:rsidRPr="00590CA3">
        <w:rPr>
          <w:rFonts w:ascii="Arial" w:eastAsia="Calibri" w:hAnsi="Arial" w:cs="Arial"/>
          <w:b/>
          <w:i/>
          <w:sz w:val="24"/>
        </w:rPr>
        <w:t>Acórdão n.º 1599/2010-Plenário, TC-000.274/2010-0, rel. Min-Subst. Marcos Bemquerer Costa, 07.07.2010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bCs/>
          <w:sz w:val="28"/>
        </w:rPr>
      </w:pPr>
      <w:r w:rsidRPr="00590CA3">
        <w:rPr>
          <w:rFonts w:ascii="Arial" w:eastAsia="Calibri" w:hAnsi="Arial" w:cs="Arial"/>
          <w:b/>
          <w:sz w:val="28"/>
        </w:rPr>
        <w:t>Estipulação de BDI diferenciado para materiais de valor relevante que são objeto de simples intermediação por parte da empresa executora</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Ainda como consequência da auditoria realizada no Ministério das Cidades, o relator considerou necessária a audiência dos responsáveis </w:t>
      </w:r>
      <w:r w:rsidRPr="00590CA3">
        <w:rPr>
          <w:rFonts w:ascii="Arial" w:eastAsia="Calibri" w:hAnsi="Arial" w:cs="Arial"/>
          <w:i/>
          <w:sz w:val="24"/>
        </w:rPr>
        <w:t>“pelo recebimento dos projetos executivos, memoriais descritivos, especificações técnicas de serviços e orçamentos da Adutora CR Floresta/CR Portal, do Reservatório Apoiado da Penitenciária e da Adutora CR Portal/CR Penal, da Adutora CR Santo Afonso/ramal Amapá (objeto do Contrato n.º 118/2007)”</w:t>
      </w:r>
      <w:r w:rsidRPr="00590CA3">
        <w:rPr>
          <w:rFonts w:ascii="Arial" w:eastAsia="Calibri" w:hAnsi="Arial" w:cs="Arial"/>
          <w:sz w:val="24"/>
        </w:rPr>
        <w:t xml:space="preserve">, haja vista terem </w:t>
      </w:r>
      <w:r w:rsidRPr="00590CA3">
        <w:rPr>
          <w:rFonts w:ascii="Arial" w:eastAsia="Calibri" w:hAnsi="Arial" w:cs="Arial"/>
          <w:i/>
          <w:sz w:val="24"/>
        </w:rPr>
        <w:t>“atestado a adequação da documentação acima [...] com diversas deficiências”</w:t>
      </w:r>
      <w:r w:rsidRPr="00590CA3">
        <w:rPr>
          <w:rFonts w:ascii="Arial" w:eastAsia="Calibri" w:hAnsi="Arial" w:cs="Arial"/>
          <w:sz w:val="24"/>
        </w:rPr>
        <w:t xml:space="preserve">, </w:t>
      </w:r>
      <w:r w:rsidRPr="00590CA3">
        <w:rPr>
          <w:rFonts w:ascii="Arial" w:eastAsia="Calibri" w:hAnsi="Arial" w:cs="Arial"/>
          <w:sz w:val="24"/>
        </w:rPr>
        <w:lastRenderedPageBreak/>
        <w:t xml:space="preserve">entre elas a estipulação do BDI de 20% para materiais de valor relevante, quando o máximo razoável, conforme jurisprudência do TCU, é de 10%, materiais esses que </w:t>
      </w:r>
      <w:r w:rsidRPr="00590CA3">
        <w:rPr>
          <w:rFonts w:ascii="Arial" w:eastAsia="Calibri" w:hAnsi="Arial" w:cs="Arial"/>
          <w:i/>
          <w:sz w:val="24"/>
        </w:rPr>
        <w:t>“poderiam ter sido adquiridos em licitação separada e que são objeto de simples intermediação por parte da empresa executora”</w:t>
      </w:r>
      <w:r w:rsidRPr="00590CA3">
        <w:rPr>
          <w:rFonts w:ascii="Arial" w:eastAsia="Calibri" w:hAnsi="Arial" w:cs="Arial"/>
          <w:sz w:val="24"/>
        </w:rPr>
        <w:t xml:space="preserve">. Ao enfatizar que, de fato, o TCU tem entendimento no sentido de que o BDI de materiais relevantes deve ser diferenciado, o relator fez alusão à recém-aprovada Súmula n.º 253, que assim dispõe: </w:t>
      </w:r>
      <w:r w:rsidRPr="00590CA3">
        <w:rPr>
          <w:rFonts w:ascii="Arial" w:eastAsia="Calibri" w:hAnsi="Arial" w:cs="Arial"/>
          <w:i/>
          <w:iCs/>
          <w:sz w:val="24"/>
        </w:rPr>
        <w:t>“Comprovada a inviabilidade técnico-econômica de parcelamento do objeto da licitação, nos termos da legislação em vigor, os itens de fornecimento de materiais e equipamentos de natureza específica que possam ser fornecidos por empresas com especialidades próprias e diversas e que representem percentual significativo do preço global da obra devem apresentar incidência de taxa de Bonificação e Despesas Indiretas – BDI reduzida em relação à taxa aplicável aos demais itens.”</w:t>
      </w:r>
      <w:r w:rsidRPr="00590CA3">
        <w:rPr>
          <w:rFonts w:ascii="Arial" w:eastAsia="Calibri" w:hAnsi="Arial" w:cs="Arial"/>
          <w:sz w:val="24"/>
        </w:rPr>
        <w:t xml:space="preserve"> Ao final, o relator ressaltou que, embora o responsável tenha efetuado a diferenciação, esta, consubstanciada na redução de 23,86% para 20%, </w:t>
      </w:r>
      <w:r w:rsidRPr="00590CA3">
        <w:rPr>
          <w:rFonts w:ascii="Arial" w:eastAsia="Calibri" w:hAnsi="Arial" w:cs="Arial"/>
          <w:i/>
          <w:sz w:val="24"/>
        </w:rPr>
        <w:t>“não se mostrou adequada”</w:t>
      </w:r>
      <w:r w:rsidRPr="00590CA3">
        <w:rPr>
          <w:rFonts w:ascii="Arial" w:eastAsia="Calibri" w:hAnsi="Arial" w:cs="Arial"/>
          <w:sz w:val="24"/>
        </w:rPr>
        <w:t>. O Plenário acolheu o voto do relator.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1.600/2003, 1.020/2007, 1.599/2008 e 2.875/2008, todos do Plenário. </w:t>
      </w:r>
      <w:r w:rsidRPr="00590CA3">
        <w:rPr>
          <w:rFonts w:ascii="Arial" w:eastAsia="Calibri" w:hAnsi="Arial" w:cs="Arial"/>
          <w:b/>
          <w:i/>
          <w:sz w:val="24"/>
        </w:rPr>
        <w:t>Acórdão n.º 1599/2010-Plenário, TC-000.274/2010-0, rel. Min-Subst. Marcos Bemquerer Costa, 07.07.2010</w:t>
      </w:r>
      <w:r w:rsidRPr="00590CA3">
        <w:rPr>
          <w:rFonts w:ascii="Arial" w:eastAsia="Calibri" w:hAnsi="Arial" w:cs="Arial"/>
          <w:sz w:val="24"/>
        </w:rPr>
        <w:t>.</w:t>
      </w: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26.</w:t>
      </w:r>
    </w:p>
    <w:p w:rsidR="004570CC" w:rsidRPr="00590CA3" w:rsidRDefault="004570CC" w:rsidP="00633EA3">
      <w:pPr>
        <w:spacing w:before="120" w:after="240" w:line="240" w:lineRule="auto"/>
        <w:jc w:val="both"/>
        <w:rPr>
          <w:rFonts w:ascii="Arial" w:eastAsia="Calibri" w:hAnsi="Arial" w:cs="Arial"/>
          <w:sz w:val="28"/>
        </w:rPr>
      </w:pPr>
      <w:r w:rsidRPr="00590CA3">
        <w:rPr>
          <w:rFonts w:ascii="Arial" w:eastAsia="Calibri" w:hAnsi="Arial" w:cs="Arial"/>
          <w:b/>
          <w:sz w:val="28"/>
        </w:rPr>
        <w:t>Licitação de obra rodoviária: ausência de estudos de viabilidade técnica e econômico-financeira do empreendimento</w:t>
      </w:r>
    </w:p>
    <w:p w:rsidR="004570CC" w:rsidRPr="00590CA3" w:rsidRDefault="004570CC" w:rsidP="001522A7">
      <w:pPr>
        <w:spacing w:before="120" w:after="240" w:line="360" w:lineRule="auto"/>
        <w:jc w:val="both"/>
        <w:rPr>
          <w:rFonts w:ascii="Arial" w:eastAsia="Calibri" w:hAnsi="Arial" w:cs="Arial"/>
          <w:b/>
          <w:i/>
          <w:sz w:val="24"/>
        </w:rPr>
      </w:pPr>
      <w:r w:rsidRPr="00590CA3">
        <w:rPr>
          <w:rFonts w:ascii="Arial" w:eastAsia="Calibri" w:hAnsi="Arial" w:cs="Arial"/>
          <w:sz w:val="24"/>
        </w:rPr>
        <w:t xml:space="preserve">Em levantamento de auditoria relacionado à Concorrência Pública - Edital nº 0142/2010-17, cujo objeto é a contratação de empresa para execução de serviços de atualização do projeto executivo de engenharia para implantação e pavimentação da Rodovia BR-484/ES, subtrecho Serra Pelada-Itarana, com extensão de 34,2 Km, o relator, em sede cautelar, determinou ao Departamento Nacional de Infraestrutura de Transportes (DNIT) a imediata suspensão do processo licitatório em curso em razão de potenciais irregularidades detectadas. Uma dessas irregularidades seria a </w:t>
      </w:r>
      <w:r w:rsidRPr="00590CA3">
        <w:rPr>
          <w:rFonts w:ascii="Arial" w:eastAsia="Calibri" w:hAnsi="Arial" w:cs="Arial"/>
          <w:i/>
          <w:sz w:val="24"/>
        </w:rPr>
        <w:t xml:space="preserve">“realização de procedimento licitatório para contratação dos referidos serviços de atualização </w:t>
      </w:r>
      <w:r w:rsidRPr="00590CA3">
        <w:rPr>
          <w:rFonts w:ascii="Arial" w:eastAsia="Calibri" w:hAnsi="Arial" w:cs="Arial"/>
          <w:i/>
          <w:sz w:val="24"/>
        </w:rPr>
        <w:lastRenderedPageBreak/>
        <w:t>de projeto executivo sem a prévia realização de estudos de viabilidade técnica e econômico-financeira do empreendimento, com afronta aos comandos contidos no inciso IX do art. 6º e art. 12 da Lei 8.666/1993 e no § 4º do art. 10 da Lei 11.653/2008”</w:t>
      </w:r>
      <w:r w:rsidRPr="00590CA3">
        <w:rPr>
          <w:rFonts w:ascii="Arial" w:eastAsia="Calibri" w:hAnsi="Arial" w:cs="Arial"/>
          <w:sz w:val="24"/>
        </w:rPr>
        <w:t>. A unidade técnica, ao examinar o assunto, registrou informação prestada pela Superintendência Regional do DNIT, de que “</w:t>
      </w:r>
      <w:r w:rsidRPr="00590CA3">
        <w:rPr>
          <w:rFonts w:ascii="Arial" w:eastAsia="Calibri" w:hAnsi="Arial" w:cs="Arial"/>
          <w:i/>
          <w:iCs/>
          <w:sz w:val="24"/>
        </w:rPr>
        <w:t>a obra não necessitaria de estudos de viabilidade técnica e econômico-finaneira, haja vista tratar-se de obra remanescente do Convênio PG-105/98-DNER/DER”.</w:t>
      </w:r>
      <w:r w:rsidRPr="00590CA3">
        <w:rPr>
          <w:rFonts w:ascii="Arial" w:eastAsia="Calibri" w:hAnsi="Arial" w:cs="Arial"/>
          <w:iCs/>
          <w:sz w:val="24"/>
        </w:rPr>
        <w:t xml:space="preserve"> Destacou a unidade técnica, ainda, que praticamente toda a rodovia, objeto da licitação examinada, cortará terrenos particulares, atravessando </w:t>
      </w:r>
      <w:r w:rsidRPr="00590CA3">
        <w:rPr>
          <w:rFonts w:ascii="Arial" w:eastAsia="Calibri" w:hAnsi="Arial" w:cs="Arial"/>
          <w:i/>
          <w:iCs/>
          <w:sz w:val="24"/>
        </w:rPr>
        <w:t>“uma região extremamente acidentada e montanhosa, com altitudes acima dos 1.000 m”</w:t>
      </w:r>
      <w:r w:rsidRPr="00590CA3">
        <w:rPr>
          <w:rFonts w:ascii="Arial" w:eastAsia="Calibri" w:hAnsi="Arial" w:cs="Arial"/>
          <w:iCs/>
          <w:sz w:val="24"/>
        </w:rPr>
        <w:t xml:space="preserve">. De sua parte, o relator observou que as circunstâncias materiais, ressaltadas pela equipe de auditoria, evidenciaram que os </w:t>
      </w:r>
      <w:r w:rsidRPr="00590CA3">
        <w:rPr>
          <w:rFonts w:ascii="Arial" w:eastAsia="Calibri" w:hAnsi="Arial" w:cs="Arial"/>
          <w:sz w:val="24"/>
        </w:rPr>
        <w:t>estudos de viabilidade técnica e econômico-financeira</w:t>
      </w:r>
      <w:r w:rsidRPr="00590CA3">
        <w:rPr>
          <w:rFonts w:ascii="Arial" w:eastAsia="Calibri" w:hAnsi="Arial" w:cs="Arial"/>
          <w:i/>
          <w:sz w:val="24"/>
        </w:rPr>
        <w:t xml:space="preserve"> </w:t>
      </w:r>
      <w:r w:rsidRPr="00590CA3">
        <w:rPr>
          <w:rFonts w:ascii="Arial" w:eastAsia="Calibri" w:hAnsi="Arial" w:cs="Arial"/>
          <w:sz w:val="24"/>
        </w:rPr>
        <w:t xml:space="preserve">seriam especialmente importantes, uma vez que </w:t>
      </w:r>
      <w:r w:rsidRPr="00590CA3">
        <w:rPr>
          <w:rFonts w:ascii="Arial" w:eastAsia="Calibri" w:hAnsi="Arial" w:cs="Arial"/>
          <w:i/>
          <w:sz w:val="24"/>
        </w:rPr>
        <w:t>“praticamente toda extensão da rodovia BR-484/ES está situada em áreas particulares, o que demanda a implementação de desapropriações”</w:t>
      </w:r>
      <w:r w:rsidRPr="00590CA3">
        <w:rPr>
          <w:rFonts w:ascii="Arial" w:eastAsia="Calibri" w:hAnsi="Arial" w:cs="Arial"/>
          <w:sz w:val="24"/>
        </w:rPr>
        <w:t>, e, além disso</w:t>
      </w:r>
      <w:r w:rsidRPr="00590CA3">
        <w:rPr>
          <w:rFonts w:ascii="Arial" w:eastAsia="Calibri" w:hAnsi="Arial" w:cs="Arial"/>
          <w:i/>
          <w:sz w:val="24"/>
        </w:rPr>
        <w:t>, “a rodovia atravessa região muito acidentada, o que impacta severamente o custo da obra”</w:t>
      </w:r>
      <w:r w:rsidRPr="00590CA3">
        <w:rPr>
          <w:rFonts w:ascii="Arial" w:eastAsia="Calibri" w:hAnsi="Arial" w:cs="Arial"/>
          <w:sz w:val="24"/>
        </w:rPr>
        <w:t xml:space="preserve">. Ainda para o relator, </w:t>
      </w:r>
      <w:r w:rsidRPr="00590CA3">
        <w:rPr>
          <w:rFonts w:ascii="Arial" w:eastAsia="Calibri" w:hAnsi="Arial" w:cs="Arial"/>
          <w:i/>
          <w:sz w:val="24"/>
        </w:rPr>
        <w:t>“É possível que tais estudos apontem para solução distinta da que foi delineada originalmente”</w:t>
      </w:r>
      <w:r w:rsidRPr="00590CA3">
        <w:rPr>
          <w:rFonts w:ascii="Arial" w:eastAsia="Calibri" w:hAnsi="Arial" w:cs="Arial"/>
          <w:sz w:val="24"/>
        </w:rPr>
        <w:t xml:space="preserve">. Todavia, divergiu o relator quanto à classificação da irregularidade, pois, para ele, “... </w:t>
      </w:r>
      <w:r w:rsidRPr="00590CA3">
        <w:rPr>
          <w:rFonts w:ascii="Arial" w:eastAsia="Calibri" w:hAnsi="Arial" w:cs="Arial"/>
          <w:i/>
          <w:sz w:val="24"/>
        </w:rPr>
        <w:t>a falta de estudos de viabilidade técnica e econômica merece ser classificada como irregularidade grave com proposta de paralisação (IG-P). E não como outras irregularidades (OI). Isso porque se enquadra na hipótese do art. 94, § 1º, inciso IV, da Lei nº 12.017/2009”</w:t>
      </w:r>
      <w:r w:rsidRPr="00590CA3">
        <w:rPr>
          <w:rFonts w:ascii="Arial" w:eastAsia="Calibri" w:hAnsi="Arial" w:cs="Arial"/>
          <w:sz w:val="24"/>
        </w:rPr>
        <w:t xml:space="preserve">. O Plenário referendou a cautelar. </w:t>
      </w:r>
      <w:r w:rsidRPr="00590CA3">
        <w:rPr>
          <w:rFonts w:ascii="Arial" w:eastAsia="Calibri" w:hAnsi="Arial" w:cs="Arial"/>
          <w:b/>
          <w:i/>
          <w:sz w:val="24"/>
        </w:rPr>
        <w:t xml:space="preserve">Decisão monocrática no TC-015.254/2010-0, rel. Min. Benjamin Zymler, 21.07.2010. </w:t>
      </w: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Critério de aceitabilidade de preços</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Em Relatório de Auditoria realizada nas obras de urbanização de favelas nas bacias dos córregos Cabaça e Segredo, localizadas no Município de Campo Grande/MS, foram detectadas diversas irregularidades pelo TCU, tanto nas licitações, quanto nos contratos relacionados. A primeira irregularidade consistiu na constatação, pela equipe de auditoria, de que os editais de </w:t>
      </w:r>
      <w:r w:rsidRPr="00590CA3">
        <w:rPr>
          <w:rFonts w:ascii="Arial" w:eastAsia="Calibri" w:hAnsi="Arial" w:cs="Arial"/>
          <w:sz w:val="24"/>
        </w:rPr>
        <w:lastRenderedPageBreak/>
        <w:t>licitação apresentaram apenas critérios de aceitabilidade de preço global. A esse respeito, foi destacado pelo relator que “</w:t>
      </w:r>
      <w:r w:rsidRPr="00590CA3">
        <w:rPr>
          <w:rFonts w:ascii="Arial" w:eastAsia="Calibri" w:hAnsi="Arial" w:cs="Arial"/>
          <w:i/>
          <w:sz w:val="24"/>
        </w:rPr>
        <w:t>A Lei n. 8.666/1993, no inciso X do art. 40, é cristalina ao estabelecer a possibilidade de os certames contemplarem critérios de preços unitários e global. Para determinar a utilização desses critérios é preciso levar em conta o objeto que se deseja contratar. No presente caso, como se sabe, trata-se de obras, objeto esse que reclama também a adoção do regime de preço unitário ao lado do preço global, pois, em regra, as avenças desse jaez incluem fornecimento de materiais e/ou serviços com previsão de diversos quantitativos correspondentes às previsões do projeto básico e executivo, os quais devem demonstrar a realidade da execução da obra”</w:t>
      </w:r>
      <w:r w:rsidRPr="00590CA3">
        <w:rPr>
          <w:rFonts w:ascii="Arial" w:eastAsia="Calibri" w:hAnsi="Arial" w:cs="Arial"/>
          <w:sz w:val="24"/>
        </w:rPr>
        <w:t xml:space="preserve">. Além disso, destacou o relator que, conforme jurisprudência do TCU, </w:t>
      </w:r>
      <w:r w:rsidRPr="00590CA3">
        <w:rPr>
          <w:rFonts w:ascii="Arial" w:eastAsia="Calibri" w:hAnsi="Arial" w:cs="Arial"/>
          <w:i/>
          <w:sz w:val="24"/>
        </w:rPr>
        <w:t xml:space="preserve">“... a inclusão de preço unitário permite uma acurada averiguação da adequabilidade dos </w:t>
      </w:r>
      <w:bookmarkStart w:id="3" w:name="Hit2"/>
      <w:r w:rsidRPr="00590CA3">
        <w:rPr>
          <w:rFonts w:ascii="Arial" w:eastAsia="Calibri" w:hAnsi="Arial" w:cs="Arial"/>
          <w:i/>
          <w:sz w:val="24"/>
        </w:rPr>
        <w:t xml:space="preserve">preços ofertados pelos licitantes e, consequentemente, proporciona uma melhor avaliação da </w:t>
      </w:r>
      <w:bookmarkEnd w:id="3"/>
      <w:r w:rsidRPr="00590CA3">
        <w:rPr>
          <w:rFonts w:ascii="Arial" w:eastAsia="Calibri" w:hAnsi="Arial" w:cs="Arial"/>
          <w:i/>
          <w:sz w:val="24"/>
        </w:rPr>
        <w:t>obra como um todo, sendo a técnica indicada ao caso...”</w:t>
      </w:r>
      <w:r w:rsidRPr="00590CA3">
        <w:rPr>
          <w:rFonts w:ascii="Arial" w:eastAsia="Calibri" w:hAnsi="Arial" w:cs="Arial"/>
          <w:sz w:val="24"/>
        </w:rPr>
        <w:t>.  Ao final, o relator propôs expedição de determinação corretiva ao município de Campo Grande/MS, para que, em futuras licitações feitas com recursos federais, “</w:t>
      </w:r>
      <w:r w:rsidRPr="00590CA3">
        <w:rPr>
          <w:rFonts w:ascii="Arial" w:eastAsia="Calibri" w:hAnsi="Arial" w:cs="Arial"/>
          <w:i/>
          <w:sz w:val="24"/>
        </w:rPr>
        <w:t>utilize critérios de aceitabilidade de preços unitários e global, nos termos do disposto no inciso X do art. 40 da Lei n. 8.666/1993 e da jurisprudência do TCU</w:t>
      </w:r>
      <w:r w:rsidRPr="00590CA3">
        <w:rPr>
          <w:rFonts w:ascii="Arial" w:eastAsia="Calibri" w:hAnsi="Arial" w:cs="Arial"/>
          <w:sz w:val="24"/>
        </w:rPr>
        <w:t xml:space="preserve">”. A proposta contou com a concordância do Plenário. Precedentes citados: </w:t>
      </w:r>
      <w:r w:rsidRPr="00590CA3">
        <w:rPr>
          <w:rFonts w:ascii="Arial" w:eastAsia="Calibri" w:hAnsi="Arial" w:cs="Arial"/>
          <w:sz w:val="24"/>
        </w:rPr>
        <w:br/>
        <w:t xml:space="preserve">Acórdãos nº 1.426/2010 e nº 1.452/2010, ambos do Plenário do TCU. </w:t>
      </w:r>
      <w:r w:rsidRPr="00590CA3">
        <w:rPr>
          <w:rFonts w:ascii="Arial" w:eastAsia="Calibri" w:hAnsi="Arial" w:cs="Arial"/>
          <w:b/>
          <w:i/>
          <w:sz w:val="24"/>
        </w:rPr>
        <w:t>Acórdão n.º 1.762/2010-Plenário, TC-000.289/2010-8, Min-Subst. Marcos Bemquerer Costa, 21.07.2010.</w:t>
      </w:r>
    </w:p>
    <w:p w:rsidR="004570CC" w:rsidRPr="00590CA3" w:rsidRDefault="004570CC" w:rsidP="00633EA3">
      <w:pPr>
        <w:spacing w:before="120" w:after="240" w:line="240" w:lineRule="auto"/>
        <w:jc w:val="both"/>
        <w:rPr>
          <w:rFonts w:ascii="Arial" w:eastAsia="Calibri" w:hAnsi="Arial" w:cs="Arial"/>
          <w:sz w:val="24"/>
        </w:rPr>
      </w:pPr>
    </w:p>
    <w:p w:rsidR="004B4517" w:rsidRPr="00590CA3" w:rsidRDefault="004B4517"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Detalhamento do orçamento em planilhas de custos unitários</w:t>
      </w:r>
    </w:p>
    <w:p w:rsidR="004570CC" w:rsidRPr="00590CA3" w:rsidRDefault="004570CC" w:rsidP="001522A7">
      <w:pPr>
        <w:spacing w:before="120" w:after="240" w:line="360" w:lineRule="auto"/>
        <w:jc w:val="both"/>
        <w:rPr>
          <w:rFonts w:ascii="Arial" w:eastAsia="Calibri" w:hAnsi="Arial" w:cs="Arial"/>
          <w:b/>
          <w:i/>
          <w:sz w:val="24"/>
        </w:rPr>
      </w:pPr>
      <w:r w:rsidRPr="00590CA3">
        <w:rPr>
          <w:rFonts w:ascii="Arial" w:eastAsia="Calibri" w:hAnsi="Arial" w:cs="Arial"/>
          <w:sz w:val="24"/>
        </w:rPr>
        <w:t>Outra irregularidade detectada pela equipe em auditoria nas obras de urbanização de favelas nas bacias dos córregos Cabaça e Segredo, localizadas no Município de Campo Grande/MS, foi a inobservância do art. 7º, §2º, inc. II, da Lei 8.666/1993, que estabelece como um dos requisitos para a licitação de obras e serviços a existência de “</w:t>
      </w:r>
      <w:r w:rsidRPr="00590CA3">
        <w:rPr>
          <w:rFonts w:ascii="Arial" w:eastAsia="Calibri" w:hAnsi="Arial" w:cs="Arial"/>
          <w:i/>
          <w:sz w:val="24"/>
        </w:rPr>
        <w:t>orçamento detalhado em planilhas que expressem a composição de todos os seus custos unitários”</w:t>
      </w:r>
      <w:r w:rsidRPr="00590CA3">
        <w:rPr>
          <w:rFonts w:ascii="Arial" w:eastAsia="Calibri" w:hAnsi="Arial" w:cs="Arial"/>
          <w:sz w:val="24"/>
        </w:rPr>
        <w:t xml:space="preserve">. No voto, o </w:t>
      </w:r>
      <w:r w:rsidRPr="00590CA3">
        <w:rPr>
          <w:rFonts w:ascii="Arial" w:eastAsia="Calibri" w:hAnsi="Arial" w:cs="Arial"/>
          <w:sz w:val="24"/>
        </w:rPr>
        <w:lastRenderedPageBreak/>
        <w:t>relator enfatizou que a regra citada no dispositivo legal traz, basicamente, duas implicações: “</w:t>
      </w:r>
      <w:r w:rsidRPr="00590CA3">
        <w:rPr>
          <w:rFonts w:ascii="Arial" w:eastAsia="Calibri" w:hAnsi="Arial" w:cs="Arial"/>
          <w:i/>
          <w:sz w:val="24"/>
        </w:rPr>
        <w:t xml:space="preserve">A primeira contempla o dever de a Administração estimar seus custos, pois os valores a desembolsar devem ser previstos antes mesmo de se iniciar a licitação. A segunda guarda consonância com o princípio da transparência na gestão dos recursos públicos de forma que se possa verificar a conformidade de cada proposta ofertada à Administração com os preços correntes no mercado, o que se coaduna com a busca da proposta mais vantajosa e da isonomia e ainda conduz a um aumento de efetividade no controle dos recursos”. </w:t>
      </w:r>
      <w:r w:rsidRPr="00590CA3">
        <w:rPr>
          <w:rFonts w:ascii="Arial" w:eastAsia="Calibri" w:hAnsi="Arial" w:cs="Arial"/>
          <w:sz w:val="24"/>
        </w:rPr>
        <w:t xml:space="preserve">Ressaltando ser a observância do art. 7º, §2º, inc. II, da Lei 8.666/1993 matéria assentada na jurisprudência do TCU, o relator propôs, e o Plenário acolheu, determinação corretiva ao município de Campo Grande/MS, para que, em futuras licitações feitas com recursos federais, </w:t>
      </w:r>
      <w:r w:rsidRPr="00590CA3">
        <w:rPr>
          <w:rFonts w:ascii="Arial" w:eastAsia="Calibri" w:hAnsi="Arial" w:cs="Arial"/>
          <w:i/>
          <w:sz w:val="24"/>
        </w:rPr>
        <w:t xml:space="preserve">“elabore previamente orçamento detalhado em planilhas que expressem a composição de todos os custos unitários dos serviços pretendidos ... ; exigindo das licitantes as referidas composições em suas propostas”. </w:t>
      </w:r>
      <w:r w:rsidRPr="00590CA3">
        <w:rPr>
          <w:rFonts w:ascii="Arial" w:eastAsia="Calibri" w:hAnsi="Arial" w:cs="Arial"/>
          <w:sz w:val="24"/>
        </w:rPr>
        <w:t xml:space="preserve">Precedentes citados: Acórdão nº 2.567/2010-1ª Câmara e Acórdão nº 1.463/2010- Plenário do TCU. </w:t>
      </w:r>
      <w:r w:rsidRPr="00590CA3">
        <w:rPr>
          <w:rFonts w:ascii="Arial" w:eastAsia="Calibri" w:hAnsi="Arial" w:cs="Arial"/>
          <w:b/>
          <w:i/>
          <w:sz w:val="24"/>
        </w:rPr>
        <w:t>Acórdão n.º 1.762/2010-Plenário, TC-000.289/2010-8, Min-Subst. Marcos Bemquerer Costa, 21.07.2010.</w:t>
      </w:r>
    </w:p>
    <w:p w:rsidR="004B4517" w:rsidRPr="00590CA3" w:rsidRDefault="004B4517" w:rsidP="00633EA3">
      <w:pPr>
        <w:spacing w:before="120" w:after="240" w:line="240" w:lineRule="auto"/>
        <w:jc w:val="both"/>
        <w:rPr>
          <w:rFonts w:ascii="Arial" w:eastAsia="Calibri" w:hAnsi="Arial" w:cs="Arial"/>
          <w:b/>
          <w:i/>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bCs/>
          <w:sz w:val="28"/>
        </w:rPr>
        <w:t>Exigência, para fins de habilitação, de profissional qualificado nos quadros permanentes das licitantes</w:t>
      </w:r>
    </w:p>
    <w:p w:rsidR="004570CC" w:rsidRPr="00590CA3" w:rsidRDefault="004570CC" w:rsidP="001522A7">
      <w:pPr>
        <w:spacing w:before="120" w:after="240" w:line="360" w:lineRule="auto"/>
        <w:jc w:val="both"/>
        <w:rPr>
          <w:rFonts w:ascii="Arial" w:eastAsia="Calibri" w:hAnsi="Arial" w:cs="Arial"/>
          <w:b/>
          <w:i/>
          <w:sz w:val="24"/>
        </w:rPr>
      </w:pPr>
      <w:r w:rsidRPr="00590CA3">
        <w:rPr>
          <w:rFonts w:ascii="Arial" w:eastAsia="Calibri" w:hAnsi="Arial" w:cs="Arial"/>
          <w:sz w:val="24"/>
        </w:rPr>
        <w:t xml:space="preserve">Ainda no que se refere à auditoria nas obras de urbanização de favelas nas bacias dos córregos Cabaça e Segredo, localizadas no Município de Campo Grande/MS, a equipe de auditoria entendeu existir diversas cláusulas constantes dos editais de licitação que restringiriam a competitividade do certame. Uma delas seria quanto à qualificação técnica, mais especificamente a exigência de profissional qualificado integrante do quadro permanente da licitante. A esse respeito, a instrução ressaltou que </w:t>
      </w:r>
      <w:r w:rsidRPr="00590CA3">
        <w:rPr>
          <w:rFonts w:ascii="Arial" w:eastAsia="Calibri" w:hAnsi="Arial" w:cs="Arial"/>
          <w:i/>
          <w:sz w:val="24"/>
        </w:rPr>
        <w:t>“a jurisprudência deste Tribunal é pacífica no sentido de que tal exigência é inadequada, desnecessária e desproporcional, porquanto tem o condão de gerar um ônus desnecessário ao licitante, ferindo o caráter competitivo do certame. É suficiente a comprovação da existência de um contrato de prestação de serviços, sem vínculo trabalhista e regido pela legislação civil comum”.</w:t>
      </w:r>
      <w:r w:rsidRPr="00590CA3">
        <w:rPr>
          <w:rFonts w:ascii="Arial" w:eastAsia="Calibri" w:hAnsi="Arial" w:cs="Arial"/>
          <w:sz w:val="24"/>
        </w:rPr>
        <w:t xml:space="preserve"> O </w:t>
      </w:r>
      <w:r w:rsidRPr="00590CA3">
        <w:rPr>
          <w:rFonts w:ascii="Arial" w:eastAsia="Calibri" w:hAnsi="Arial" w:cs="Arial"/>
          <w:sz w:val="24"/>
        </w:rPr>
        <w:lastRenderedPageBreak/>
        <w:t xml:space="preserve">relator acompanhou a manifestação da unidade técnica e, por conseguinte, propôs determinação corretiva a respeito, o que foi aprovado pelo Plenário. Precedentes citados: Acórdãos nº. 2.297/2005, 2.036/2008, 2.099/2009, todos do Plenário. </w:t>
      </w:r>
      <w:r w:rsidRPr="00590CA3">
        <w:rPr>
          <w:rFonts w:ascii="Arial" w:eastAsia="Calibri" w:hAnsi="Arial" w:cs="Arial"/>
          <w:b/>
          <w:i/>
          <w:sz w:val="24"/>
        </w:rPr>
        <w:t>Acórdão n.º 1.762/2010-Plenário, TC-000.289/2010-8, Min-Subst. Marcos Bemquerer Costa, 21.07.2010.</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Cobrança de valores para fornecimento do edital</w:t>
      </w:r>
    </w:p>
    <w:p w:rsidR="004570CC" w:rsidRPr="00590CA3" w:rsidRDefault="004570CC" w:rsidP="001522A7">
      <w:pPr>
        <w:spacing w:before="120" w:after="240" w:line="360" w:lineRule="auto"/>
        <w:jc w:val="both"/>
        <w:rPr>
          <w:rFonts w:ascii="Arial" w:eastAsia="Calibri" w:hAnsi="Arial" w:cs="Arial"/>
          <w:b/>
          <w:i/>
          <w:sz w:val="24"/>
        </w:rPr>
      </w:pPr>
      <w:r w:rsidRPr="00590CA3">
        <w:rPr>
          <w:rFonts w:ascii="Arial" w:eastAsia="Calibri" w:hAnsi="Arial" w:cs="Arial"/>
          <w:sz w:val="24"/>
        </w:rPr>
        <w:t xml:space="preserve">Outra irregularidade identificada pela unidade técnica em auditoria nas obras de urbanização de favelas nas bacias dos córregos Cabaça e Segredo, localizadas no Município de Campo Grande/MS, e que poderia restringir a competitividade do certame seria a cobrança de valores referentes a fornecimento do edital em patamar superior ao custo efetivo de reprodução gráfica dessa documentação, em contraposição ao art. 32, § 5º, da Lei 8.666/1993, bem como em relação à jurisprudência do TCU. Em sua análise, a equipe de auditoria realçou que </w:t>
      </w:r>
      <w:r w:rsidRPr="00590CA3">
        <w:rPr>
          <w:rFonts w:ascii="Arial" w:eastAsia="Calibri" w:hAnsi="Arial" w:cs="Arial"/>
          <w:i/>
          <w:sz w:val="24"/>
        </w:rPr>
        <w:t>“Após avaliação do custo efetivo de reprodução gráfica da documentação fornecida, considerando valores atuais, apresentada em planilha de comparação de custos em anexo, evidenciou-se que essa cobrança não guarda relação com o que dispõe a lei de licitações quanto ao tema”</w:t>
      </w:r>
      <w:r w:rsidRPr="00590CA3">
        <w:rPr>
          <w:rFonts w:ascii="Arial" w:eastAsia="Calibri" w:hAnsi="Arial" w:cs="Arial"/>
          <w:sz w:val="24"/>
        </w:rPr>
        <w:t xml:space="preserve">. O relator, na mesma linha, entendeu restar afrontada tanto a Lei 8.666/1993 quanto a jurisprudência do Tribunal e apresentou proposta ao Plenário de determinação corretiva quanto ao fato, o que foi aprovado pelo Colegiado. Precedentes citados: Acórdãos nº. 2.297/2005, 2.036/2008, 2.099/2009, todos do Plenário. </w:t>
      </w:r>
      <w:r w:rsidRPr="00590CA3">
        <w:rPr>
          <w:rFonts w:ascii="Arial" w:eastAsia="Calibri" w:hAnsi="Arial" w:cs="Arial"/>
          <w:b/>
          <w:i/>
          <w:sz w:val="24"/>
        </w:rPr>
        <w:t>Acórdão n.º 1.762/2010-Plenário, TC-000.289/2010-8, Subst. Marcos Bemquerer Costa, 21.07.2010.</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Inclusão inadequada de itens na composição do BDI</w:t>
      </w:r>
    </w:p>
    <w:p w:rsidR="004570CC" w:rsidRPr="00590CA3" w:rsidRDefault="004570CC" w:rsidP="001522A7">
      <w:pPr>
        <w:spacing w:before="120" w:after="240" w:line="360" w:lineRule="auto"/>
        <w:jc w:val="both"/>
        <w:rPr>
          <w:rFonts w:ascii="Arial" w:eastAsia="Calibri" w:hAnsi="Arial" w:cs="Arial"/>
          <w:b/>
          <w:i/>
          <w:sz w:val="24"/>
        </w:rPr>
      </w:pPr>
      <w:r w:rsidRPr="00590CA3">
        <w:rPr>
          <w:rFonts w:ascii="Arial" w:eastAsia="Calibri" w:hAnsi="Arial" w:cs="Arial"/>
          <w:sz w:val="24"/>
        </w:rPr>
        <w:t xml:space="preserve">Na mesma auditoria nas obras de urbanização de favelas nas bacias dos córregos Cabaça e Segredo, localizadas no Município de Campo Grande/MS, a unidade técnica concluiu ter ocorrido a inclusão inadequada de itens na composição do BDI, os quais, em realidade, deveriam constar dos custos diretos da obra como administração local, manutenção do canteiro, mobilização </w:t>
      </w:r>
      <w:r w:rsidRPr="00590CA3">
        <w:rPr>
          <w:rFonts w:ascii="Arial" w:eastAsia="Calibri" w:hAnsi="Arial" w:cs="Arial"/>
          <w:sz w:val="24"/>
        </w:rPr>
        <w:lastRenderedPageBreak/>
        <w:t xml:space="preserve">e desmobilização de equipes, controle topográfico e tecnológico. A unidade instrutiva, citando entendimentos jurisprudenciais do TCU, destacou que </w:t>
      </w:r>
      <w:r w:rsidRPr="00590CA3">
        <w:rPr>
          <w:rFonts w:ascii="Arial" w:eastAsia="Calibri" w:hAnsi="Arial" w:cs="Arial"/>
          <w:i/>
          <w:sz w:val="24"/>
        </w:rPr>
        <w:t>“itens que sejam quantificáveis devem ser discriminados na planilha orçamentária, e não no BDI”</w:t>
      </w:r>
      <w:r w:rsidRPr="00590CA3">
        <w:rPr>
          <w:rFonts w:ascii="Arial" w:eastAsia="Calibri" w:hAnsi="Arial" w:cs="Arial"/>
          <w:sz w:val="24"/>
        </w:rPr>
        <w:t>. Assim, foi proposto pelo relator que o Tribunal determinasse ao município de Campo Grande que, em futuras licitações feitas com recursos federais, “</w:t>
      </w:r>
      <w:r w:rsidRPr="00590CA3">
        <w:rPr>
          <w:rFonts w:ascii="Arial" w:eastAsia="Calibri" w:hAnsi="Arial" w:cs="Arial"/>
          <w:i/>
          <w:sz w:val="24"/>
        </w:rPr>
        <w:t>abstenha-se de incluir no BDI itens que deveriam constar dos custos diretos da obra, como administração local, manutenção do canteiro, mobilização e desmobilização de equipes e controle topográfico e tecnológico</w:t>
      </w:r>
      <w:r w:rsidRPr="00590CA3">
        <w:rPr>
          <w:rFonts w:ascii="Arial" w:eastAsia="Calibri" w:hAnsi="Arial" w:cs="Arial"/>
          <w:sz w:val="24"/>
        </w:rPr>
        <w:t xml:space="preserve">”. A proposta foi acolhida pelo Plenário. Precedentes citados: Acórdãos nº. 325/2007 e 2.099/2009, ambos do Plenário. </w:t>
      </w:r>
      <w:r w:rsidRPr="00590CA3">
        <w:rPr>
          <w:rFonts w:ascii="Arial" w:eastAsia="Calibri" w:hAnsi="Arial" w:cs="Arial"/>
          <w:b/>
          <w:i/>
          <w:sz w:val="24"/>
        </w:rPr>
        <w:t>Acórdão n.º 1.762/2010-Plenário, TC-000.289/2010-8, Min-Subst. Marcos Bemquerer Costa, 21.07.2010.</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29.</w:t>
      </w:r>
    </w:p>
    <w:p w:rsidR="004570CC" w:rsidRPr="00590CA3" w:rsidRDefault="004570CC" w:rsidP="00633EA3">
      <w:pPr>
        <w:spacing w:before="120" w:after="240" w:line="240" w:lineRule="auto"/>
        <w:jc w:val="both"/>
        <w:rPr>
          <w:rFonts w:ascii="Arial" w:eastAsia="Calibri" w:hAnsi="Arial" w:cs="Arial"/>
          <w:sz w:val="28"/>
        </w:rPr>
      </w:pPr>
      <w:r w:rsidRPr="00590CA3">
        <w:rPr>
          <w:rFonts w:ascii="Arial" w:eastAsia="Calibri" w:hAnsi="Arial" w:cs="Arial"/>
          <w:b/>
          <w:sz w:val="28"/>
        </w:rPr>
        <w:t>Exigência de vínculo empregatício dos responsáveis técnicos com a empresa licitante na data da entrega da proposta</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Representação formulada ao TCU noticiou uma série de possíveis irregularidades relacionadas à Tomada de Preços nº 002/2010, do tipo menor preço, sob o regime de empreitada por preço global, cujo objeto, subvencionado parcialmente com recursos do Fundo Nacional de Desenvolvimento da Educação – FNDE, repassados por meio de convênio, consiste na contratação de empresa para construção de uma escola pública de educação infantil na sede do Município de Água Doce do Norte/ES e realizada pela Prefeitura da localidade. Uma dessas irregularidades seria a exigência de vínculo empregatício dos responsáveis técnicos de nível superior (engenheiros civil e elétrico) com a empresa licitante, na data prevista para entrega da proposta. Em sua análise, a unidade técnica destacou “</w:t>
      </w:r>
      <w:r w:rsidRPr="00590CA3">
        <w:rPr>
          <w:rFonts w:ascii="Arial" w:eastAsia="Calibri" w:hAnsi="Arial" w:cs="Arial"/>
          <w:i/>
          <w:iCs/>
          <w:sz w:val="24"/>
        </w:rPr>
        <w:t>a existência de reiteradas deliberações desta Corte reputando tal exigência como descabida, porquanto impõe um ônus desnecessário às empresas, à medida que as obriga a manter em seus quadros empregados ociosos e altamente qualificados somente para participarem de licitações”</w:t>
      </w:r>
      <w:r w:rsidRPr="00590CA3">
        <w:rPr>
          <w:rFonts w:ascii="Arial" w:eastAsia="Calibri" w:hAnsi="Arial" w:cs="Arial"/>
          <w:iCs/>
          <w:sz w:val="24"/>
        </w:rPr>
        <w:t>. Além disso, ainda conforme a unidade técnica, “</w:t>
      </w:r>
      <w:r w:rsidRPr="00590CA3">
        <w:rPr>
          <w:rFonts w:ascii="Arial" w:eastAsia="Calibri" w:hAnsi="Arial" w:cs="Arial"/>
          <w:i/>
          <w:iCs/>
          <w:sz w:val="24"/>
        </w:rPr>
        <w:t xml:space="preserve">para o Tribunal, o fundamental para a Administração-Contratante é que o profissional esteja em condições de efetivamente </w:t>
      </w:r>
      <w:r w:rsidRPr="00590CA3">
        <w:rPr>
          <w:rFonts w:ascii="Arial" w:eastAsia="Calibri" w:hAnsi="Arial" w:cs="Arial"/>
          <w:i/>
          <w:iCs/>
          <w:sz w:val="24"/>
        </w:rPr>
        <w:lastRenderedPageBreak/>
        <w:t>desempenhar seu mister quando da execução do futuro contrato, razão por que se mostra suficiente a existência de contrato de prestação de serviços, sem vínculo trabalhista e regido pela legislação comum, interpretação essa que vai ao encontro do disposto no § 6º do art. 30, da Lei nº 8.666/93, quando estabelece que as exigências acerca de pessoal qualificado devam reputar-se atendidas mediante mera declaração de disponibilidade apresentada pela licitante</w:t>
      </w:r>
      <w:r w:rsidRPr="00590CA3">
        <w:rPr>
          <w:rFonts w:ascii="Arial" w:eastAsia="Calibri" w:hAnsi="Arial" w:cs="Arial"/>
          <w:iCs/>
          <w:sz w:val="24"/>
        </w:rPr>
        <w:t xml:space="preserve">”. Desse modo, por essa e pelas demais irregularidades, a unidade técnica sugeriu ao relator a suspensão cautelar da </w:t>
      </w:r>
      <w:r w:rsidRPr="00590CA3">
        <w:rPr>
          <w:rFonts w:ascii="Arial" w:eastAsia="Calibri" w:hAnsi="Arial" w:cs="Arial"/>
          <w:sz w:val="24"/>
        </w:rPr>
        <w:t>Tomada de Preços nº 002/2010, até que o Tribunal deliberasse em definitivo sobre as questões postas. O relator, com o aval do Plenário, acolheu a proposta da unidade técnica. Precedentes citados: Acórdãos n</w:t>
      </w:r>
      <w:r w:rsidRPr="00590CA3">
        <w:rPr>
          <w:rFonts w:ascii="Arial" w:eastAsia="Calibri" w:hAnsi="Arial" w:cs="Arial"/>
          <w:sz w:val="24"/>
          <w:u w:val="single"/>
          <w:vertAlign w:val="superscript"/>
        </w:rPr>
        <w:t>os</w:t>
      </w:r>
      <w:r w:rsidRPr="00590CA3">
        <w:rPr>
          <w:rFonts w:ascii="Arial" w:eastAsia="Calibri" w:hAnsi="Arial" w:cs="Arial"/>
          <w:sz w:val="24"/>
        </w:rPr>
        <w:t xml:space="preserve"> </w:t>
      </w:r>
      <w:r w:rsidRPr="00590CA3">
        <w:rPr>
          <w:rFonts w:ascii="Arial" w:eastAsia="Calibri" w:hAnsi="Arial" w:cs="Arial"/>
          <w:iCs/>
          <w:sz w:val="24"/>
        </w:rPr>
        <w:t>2297/2005, 361/2006, 291/2007, 597/2007, 1547/2008, 1908/2008, 2382/2008, 103/2009, 727/2009, 80/2010, 326/2010, todos do Plenário e 434/2010-2ª Câmara</w:t>
      </w:r>
      <w:r w:rsidRPr="00590CA3">
        <w:rPr>
          <w:rFonts w:ascii="Arial" w:eastAsia="Calibri" w:hAnsi="Arial" w:cs="Arial"/>
          <w:sz w:val="24"/>
        </w:rPr>
        <w:t xml:space="preserve">. </w:t>
      </w:r>
      <w:r w:rsidRPr="00590CA3">
        <w:rPr>
          <w:rFonts w:ascii="Arial" w:eastAsia="Calibri" w:hAnsi="Arial" w:cs="Arial"/>
          <w:b/>
          <w:i/>
          <w:sz w:val="24"/>
        </w:rPr>
        <w:t xml:space="preserve">Decisão monocrática no TC-020.314/2010-8, rel. Min. Benjamin Zymler, 11.08.2010. </w:t>
      </w:r>
    </w:p>
    <w:p w:rsidR="004570CC" w:rsidRPr="00590CA3" w:rsidRDefault="004570CC" w:rsidP="00633EA3">
      <w:pPr>
        <w:spacing w:before="120" w:after="240" w:line="240" w:lineRule="auto"/>
        <w:jc w:val="both"/>
        <w:rPr>
          <w:rFonts w:ascii="Arial" w:eastAsia="Calibri" w:hAnsi="Arial" w:cs="Arial"/>
          <w:iCs/>
          <w:sz w:val="24"/>
        </w:rPr>
      </w:pPr>
    </w:p>
    <w:p w:rsidR="004570CC" w:rsidRPr="00590CA3" w:rsidRDefault="004570CC" w:rsidP="00633EA3">
      <w:pPr>
        <w:spacing w:before="120" w:after="240" w:line="240" w:lineRule="auto"/>
        <w:jc w:val="both"/>
        <w:rPr>
          <w:rFonts w:ascii="Arial" w:eastAsia="Calibri" w:hAnsi="Arial" w:cs="Arial"/>
          <w:sz w:val="28"/>
        </w:rPr>
      </w:pPr>
      <w:r w:rsidRPr="00590CA3">
        <w:rPr>
          <w:rFonts w:ascii="Arial" w:eastAsia="Calibri" w:hAnsi="Arial" w:cs="Arial"/>
          <w:b/>
          <w:sz w:val="28"/>
        </w:rPr>
        <w:t xml:space="preserve">Obrigatoriedade de visita técnica ser realizada por responsável técnico da empresa previamente designado e em data única  </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Outra irregularidade apontada na Representação formulada ao TCU que noticiou uma série de possíveis irregularidades relacionadas à Tomada de Preços nº 002/2010, do tipo menor preço, sob o regime de empreitada por preço global, cujo objeto consiste na contratação de empresa para construção de uma escola pública de educação infantil na sede do Município de Água Doce do Norte/ES, foi a necessidade de visita técnica a ser realizada em data única e, obrigatoriamente, pelo engenheiro responsável pela obra. A esse respeito, enfatizou a unidade instrutiva que “</w:t>
      </w:r>
      <w:r w:rsidRPr="00590CA3">
        <w:rPr>
          <w:rFonts w:ascii="Arial" w:eastAsia="Calibri" w:hAnsi="Arial" w:cs="Arial"/>
          <w:i/>
          <w:iCs/>
          <w:sz w:val="24"/>
        </w:rPr>
        <w:t>inexiste fundamento legal para que a visita técnica se faça obrigatoriamente pelo responsável técnico da empresa previamente designado”</w:t>
      </w:r>
      <w:r w:rsidRPr="00590CA3">
        <w:rPr>
          <w:rFonts w:ascii="Arial" w:eastAsia="Calibri" w:hAnsi="Arial" w:cs="Arial"/>
          <w:iCs/>
          <w:sz w:val="24"/>
        </w:rPr>
        <w:t>, no caso, o engenheiro responsável pela obra. Para a unidade técnica, bastaria que a licitante apresentasse “</w:t>
      </w:r>
      <w:r w:rsidRPr="00590CA3">
        <w:rPr>
          <w:rFonts w:ascii="Arial" w:eastAsia="Calibri" w:hAnsi="Arial" w:cs="Arial"/>
          <w:i/>
          <w:iCs/>
          <w:sz w:val="24"/>
        </w:rPr>
        <w:t>declaração da empresa indicando expressamente determinado profissional para o fim de tomar conhecimento do objeto a ser executado</w:t>
      </w:r>
      <w:r w:rsidRPr="00590CA3">
        <w:rPr>
          <w:rFonts w:ascii="Arial" w:eastAsia="Calibri" w:hAnsi="Arial" w:cs="Arial"/>
          <w:iCs/>
          <w:sz w:val="24"/>
        </w:rPr>
        <w:t xml:space="preserve">”. Além disso, a obrigatoriedade de que a visita técnica se dê em data única também não se mostra de acordo com disposições legais, bem como contraria entendimento do Tribunal. Desse modo, por essa e pelas demais irregularidades, a unidade técnica sugeriu ao </w:t>
      </w:r>
      <w:r w:rsidRPr="00590CA3">
        <w:rPr>
          <w:rFonts w:ascii="Arial" w:eastAsia="Calibri" w:hAnsi="Arial" w:cs="Arial"/>
          <w:iCs/>
          <w:sz w:val="24"/>
        </w:rPr>
        <w:lastRenderedPageBreak/>
        <w:t xml:space="preserve">relator a suspensão cautelar da </w:t>
      </w:r>
      <w:r w:rsidRPr="00590CA3">
        <w:rPr>
          <w:rFonts w:ascii="Arial" w:eastAsia="Calibri" w:hAnsi="Arial" w:cs="Arial"/>
          <w:sz w:val="24"/>
        </w:rPr>
        <w:t>Tomada de Preços nº 002/2010, até que o Tribunal delibere em definitivo sobre as questões postas. O relator, com o aval do Plenário, acolheu a proposta da unidade técnica. Precedentes citados: Acórdãos n</w:t>
      </w:r>
      <w:r w:rsidRPr="00590CA3">
        <w:rPr>
          <w:rFonts w:ascii="Arial" w:eastAsia="Calibri" w:hAnsi="Arial" w:cs="Arial"/>
          <w:sz w:val="24"/>
          <w:u w:val="single"/>
          <w:vertAlign w:val="superscript"/>
        </w:rPr>
        <w:t>os</w:t>
      </w:r>
      <w:r w:rsidRPr="00590CA3">
        <w:rPr>
          <w:rFonts w:ascii="Arial" w:eastAsia="Calibri" w:hAnsi="Arial" w:cs="Arial"/>
          <w:sz w:val="24"/>
        </w:rPr>
        <w:t xml:space="preserve"> </w:t>
      </w:r>
      <w:r w:rsidRPr="00590CA3">
        <w:rPr>
          <w:rFonts w:ascii="Arial" w:eastAsia="Calibri" w:hAnsi="Arial" w:cs="Arial"/>
          <w:iCs/>
          <w:sz w:val="24"/>
        </w:rPr>
        <w:t>874/2007, 326/2010, 1264/2010, 1.332/2006, 1631/2007, todos do Plenário e 2028/2006-1ª Câmara</w:t>
      </w:r>
      <w:r w:rsidRPr="00590CA3">
        <w:rPr>
          <w:rFonts w:ascii="Arial" w:eastAsia="Calibri" w:hAnsi="Arial" w:cs="Arial"/>
          <w:sz w:val="24"/>
        </w:rPr>
        <w:t xml:space="preserve">. </w:t>
      </w:r>
      <w:r w:rsidRPr="00590CA3">
        <w:rPr>
          <w:rFonts w:ascii="Arial" w:eastAsia="Calibri" w:hAnsi="Arial" w:cs="Arial"/>
          <w:b/>
          <w:i/>
          <w:sz w:val="24"/>
        </w:rPr>
        <w:t xml:space="preserve">Decisão monocrática no TC-020.314/2010-8, rel. Min. Benjamin Zymler, 11.08.2010. </w:t>
      </w:r>
    </w:p>
    <w:p w:rsidR="004570CC" w:rsidRPr="00590CA3" w:rsidRDefault="004570CC" w:rsidP="00633EA3">
      <w:pPr>
        <w:spacing w:before="120" w:after="240" w:line="240" w:lineRule="auto"/>
        <w:jc w:val="both"/>
        <w:rPr>
          <w:rFonts w:ascii="Arial" w:eastAsia="Calibri" w:hAnsi="Arial" w:cs="Arial"/>
          <w:b/>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Ausência de detalhamento de itens que devem compor o BDI</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Ainda na Representação formulada ao TCU que noticiou uma série de possíveis irregularidades relacionadas à Tomada de Preços nº 002/2010, do tipo menor preço, sob o regime de empreitada por preço global, cujo objeto consiste na contratação de empresa para construção de uma escola pública de educação infantil na sede do Município de Água Doce do Norte/ES, foi registrada a ausência de detalhamento dos itens que devem expressamente compor o BDI nas propostas a serem apresentadas pelos licitantes, de modo a evitar a falta de homogeneidade nas propostas e a aceitação de ofertas com BDI excessivos. A esse respeito, a unidade técnica consignou que “</w:t>
      </w:r>
      <w:r w:rsidRPr="00590CA3">
        <w:rPr>
          <w:rFonts w:ascii="Arial" w:eastAsia="Calibri" w:hAnsi="Arial" w:cs="Arial"/>
          <w:i/>
          <w:sz w:val="24"/>
        </w:rPr>
        <w:t xml:space="preserve">o </w:t>
      </w:r>
      <w:r w:rsidRPr="00590CA3">
        <w:rPr>
          <w:rFonts w:ascii="Arial" w:eastAsia="Calibri" w:hAnsi="Arial" w:cs="Arial"/>
          <w:i/>
          <w:iCs/>
          <w:sz w:val="24"/>
        </w:rPr>
        <w:t>diploma interno da licitação ressente-se de disposição prevendo a necessidade de detalhamento pelas empresas em suas propostas comerciais, de forma explícita e sob pena de desclassificação, do percentual de BDI – Bonificação e Despesas Indiretas, bem como a descrição de todos os seus componentes (composição analítica), de forma a garantir maior transparência na execução das despesas e evitar sobrepreço no orçamento pela inclusão indevida de parcelas</w:t>
      </w:r>
      <w:r w:rsidRPr="00590CA3">
        <w:rPr>
          <w:rFonts w:ascii="Arial" w:eastAsia="Calibri" w:hAnsi="Arial" w:cs="Arial"/>
          <w:iCs/>
          <w:sz w:val="24"/>
        </w:rPr>
        <w:t>”. O edital, então, estaria limitado a descrever, em suas cláusulas, “</w:t>
      </w:r>
      <w:r w:rsidRPr="00590CA3">
        <w:rPr>
          <w:rFonts w:ascii="Arial" w:eastAsia="Calibri" w:hAnsi="Arial" w:cs="Arial"/>
          <w:i/>
          <w:iCs/>
          <w:sz w:val="24"/>
        </w:rPr>
        <w:t>que os preços cotados haverão de compreender todos os custos diretos e indiretos, encargos, impostos, lucros, administração e outros, mediante declaração firmada pela proponente</w:t>
      </w:r>
      <w:r w:rsidRPr="00590CA3">
        <w:rPr>
          <w:rFonts w:ascii="Arial" w:eastAsia="Calibri" w:hAnsi="Arial" w:cs="Arial"/>
          <w:iCs/>
          <w:sz w:val="24"/>
        </w:rPr>
        <w:t xml:space="preserve">”. </w:t>
      </w:r>
      <w:r w:rsidRPr="00590CA3">
        <w:rPr>
          <w:rFonts w:ascii="Arial" w:eastAsia="Calibri" w:hAnsi="Arial" w:cs="Arial"/>
          <w:i/>
          <w:iCs/>
          <w:sz w:val="24"/>
        </w:rPr>
        <w:t xml:space="preserve"> </w:t>
      </w:r>
      <w:r w:rsidRPr="00590CA3">
        <w:rPr>
          <w:rFonts w:ascii="Arial" w:eastAsia="Calibri" w:hAnsi="Arial" w:cs="Arial"/>
          <w:iCs/>
          <w:sz w:val="24"/>
        </w:rPr>
        <w:t xml:space="preserve">Assim, por essa e pelas demais irregularidades, a unidade técnica sugeriu ao relator a suspensão cautelar da </w:t>
      </w:r>
      <w:r w:rsidRPr="00590CA3">
        <w:rPr>
          <w:rFonts w:ascii="Arial" w:eastAsia="Calibri" w:hAnsi="Arial" w:cs="Arial"/>
          <w:sz w:val="24"/>
        </w:rPr>
        <w:t xml:space="preserve">Tomada de Preços nº 002/2010, até que o Tribunal deliberasse em definitivo sobre as questões postas. O relator, com o aval do Plenário, acolheu a proposta da unidade técnica. Precedentes citados: </w:t>
      </w:r>
      <w:r w:rsidRPr="00590CA3">
        <w:rPr>
          <w:rFonts w:ascii="Arial" w:eastAsia="Calibri" w:hAnsi="Arial" w:cs="Arial"/>
          <w:iCs/>
          <w:sz w:val="24"/>
        </w:rPr>
        <w:t xml:space="preserve">Acórdão </w:t>
      </w:r>
      <w:r w:rsidRPr="00590CA3">
        <w:rPr>
          <w:rFonts w:ascii="Arial" w:eastAsia="Calibri" w:hAnsi="Arial" w:cs="Arial"/>
          <w:sz w:val="24"/>
        </w:rPr>
        <w:t>n</w:t>
      </w:r>
      <w:r w:rsidRPr="00590CA3">
        <w:rPr>
          <w:rFonts w:ascii="Arial" w:eastAsia="Calibri" w:hAnsi="Arial" w:cs="Arial"/>
          <w:sz w:val="24"/>
          <w:u w:val="single"/>
          <w:vertAlign w:val="superscript"/>
        </w:rPr>
        <w:t>os</w:t>
      </w:r>
      <w:r w:rsidRPr="00590CA3">
        <w:rPr>
          <w:rFonts w:ascii="Arial" w:eastAsia="Calibri" w:hAnsi="Arial" w:cs="Arial"/>
          <w:iCs/>
          <w:sz w:val="24"/>
        </w:rPr>
        <w:t xml:space="preserve"> 220/2007; 325/2007; 1286/2007; </w:t>
      </w:r>
      <w:r w:rsidRPr="00590CA3">
        <w:rPr>
          <w:rFonts w:ascii="Arial" w:eastAsia="Calibri" w:hAnsi="Arial" w:cs="Arial"/>
          <w:iCs/>
          <w:sz w:val="24"/>
        </w:rPr>
        <w:lastRenderedPageBreak/>
        <w:t>2656/2007; 440/2008; 2207/2009 e 1426/2010, todos do Plenário</w:t>
      </w:r>
      <w:r w:rsidRPr="00590CA3">
        <w:rPr>
          <w:rFonts w:ascii="Arial" w:eastAsia="Calibri" w:hAnsi="Arial" w:cs="Arial"/>
          <w:b/>
          <w:i/>
          <w:sz w:val="24"/>
        </w:rPr>
        <w:t xml:space="preserve">. Decisão monocrática no TC-020.314/2010-8, rel. Min. Benjamin Zymler, 11.08.2010. </w:t>
      </w:r>
    </w:p>
    <w:p w:rsidR="004570CC" w:rsidRPr="00590CA3" w:rsidRDefault="004570CC" w:rsidP="00633EA3">
      <w:pPr>
        <w:spacing w:before="120" w:after="240" w:line="240" w:lineRule="auto"/>
        <w:jc w:val="both"/>
        <w:rPr>
          <w:rFonts w:ascii="Arial" w:eastAsia="Calibri" w:hAnsi="Arial" w:cs="Arial"/>
          <w:b/>
          <w:bCs/>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Não utilização dos sistemas oficiais de referências de preços para obras e serviços de engenharia</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Na mesma Representação formulada ao TCU que noticiou uma série de possíveis irregularidades relacionadas à Tomada de Preços nº 002/2010, do tipo menor preço, sob o regime de empreitada por preço global, cujo objeto consiste na contratação de empresa para construção de uma escola pública de educação infantil na sede do Município de Água Doce do Norte/ES, outra irregularidade seria a inobservância dos sistemas oficiais de referências de preços nas licitações de obras e serviços de engenharia, o que vai de encontro às disposições estabelecidas nas Leis de Diretrizes Orçamentárias - LDO (art. 109 da Lei 11.768/2008 - LDO para o exercício de 2009 e art. 112 da Lei 12.017/2009 - LDO para o exercício de 2010), que versam sobre a utilização do Sistema Nacional de Pesquisa de Custos e Índices da Construção Civil - Sinapi e do Sistema de Custos Rodoviários - Sicro. Acerca de tal situação, a unidade técnica registrou que </w:t>
      </w:r>
      <w:r w:rsidRPr="00590CA3">
        <w:rPr>
          <w:rFonts w:ascii="Arial" w:eastAsia="Calibri" w:hAnsi="Arial" w:cs="Arial"/>
          <w:i/>
          <w:iCs/>
          <w:sz w:val="24"/>
        </w:rPr>
        <w:t>a disciplina para atribuição de preço a serviços cuja necessidade de execução somente seja conhecida supervenientemente, com o uso de referenciais de preços que não os habitualmente empregados pelo Tribunal, põe sob suspeição a razoabilidade de seu manejo – comparativamente ao Sinapi – e sinaliza que a própria formação da estimativa de custos da obra tenha se valido da base ali citada (Tabela Referencial de Preços do Laboratório de Orçamentos da Universidade Federal do Espírito Santo - FCAA/LABOR)</w:t>
      </w:r>
      <w:r w:rsidRPr="00590CA3">
        <w:rPr>
          <w:rFonts w:ascii="Arial" w:eastAsia="Calibri" w:hAnsi="Arial" w:cs="Arial"/>
          <w:iCs/>
          <w:sz w:val="24"/>
        </w:rPr>
        <w:t xml:space="preserve">. Assim, haveria a utilização de sistema referencial de preços distinto daqueles usualmente utilizados pelo Tribunal. Desse modo, por essa e pelas demais irregularidades, a unidade técnica sugeriu ao relator a suspensão cautelar da </w:t>
      </w:r>
      <w:r w:rsidRPr="00590CA3">
        <w:rPr>
          <w:rFonts w:ascii="Arial" w:eastAsia="Calibri" w:hAnsi="Arial" w:cs="Arial"/>
          <w:sz w:val="24"/>
        </w:rPr>
        <w:t xml:space="preserve">Tomada de Preços nº 002/2010, até que o Tribunal deliberasse em definitivo sobre as questões postas. O relator, com o aval do Plenário, acolheu a proposta da unidade técnica. </w:t>
      </w:r>
      <w:r w:rsidRPr="00590CA3">
        <w:rPr>
          <w:rFonts w:ascii="Arial" w:eastAsia="Calibri" w:hAnsi="Arial" w:cs="Arial"/>
          <w:b/>
          <w:i/>
          <w:sz w:val="24"/>
        </w:rPr>
        <w:t xml:space="preserve">Decisão monocrática no TC-020.314/2010-8, rel. Min. Benjamin Zymler, 11.08.2010. </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lastRenderedPageBreak/>
        <w:t>30.</w:t>
      </w: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Número mínimo de atestados para comprovação da capacitação técnico-operacional</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O relator comunicou ao Plenário ter adotado medida cautelar determinando à Prefeitura Municipal de Ibatiba/ES que se abstivesse de praticar </w:t>
      </w:r>
      <w:r w:rsidRPr="00590CA3">
        <w:rPr>
          <w:rFonts w:ascii="Arial" w:eastAsia="Calibri" w:hAnsi="Arial" w:cs="Arial"/>
          <w:i/>
          <w:iCs/>
          <w:sz w:val="24"/>
        </w:rPr>
        <w:t>“quaisquer atos visando dar execução”</w:t>
      </w:r>
      <w:r w:rsidRPr="00590CA3">
        <w:rPr>
          <w:rFonts w:ascii="Arial" w:eastAsia="Calibri" w:hAnsi="Arial" w:cs="Arial"/>
          <w:sz w:val="24"/>
        </w:rPr>
        <w:t xml:space="preserve"> aos contratos decorrentes das Tomadas de Preços n.</w:t>
      </w:r>
      <w:r w:rsidRPr="00590CA3">
        <w:rPr>
          <w:rFonts w:ascii="Arial" w:eastAsia="Calibri" w:hAnsi="Arial" w:cs="Arial"/>
          <w:sz w:val="24"/>
          <w:vertAlign w:val="superscript"/>
        </w:rPr>
        <w:t>os</w:t>
      </w:r>
      <w:r w:rsidRPr="00590CA3">
        <w:rPr>
          <w:rFonts w:ascii="Arial" w:eastAsia="Calibri" w:hAnsi="Arial" w:cs="Arial"/>
          <w:sz w:val="24"/>
        </w:rPr>
        <w:t xml:space="preserve"> 3 a 8/2010, até que o Tribunal decida sobre o mérito das questões levantadas em processo de representação. Os referidos certames tiveram como objeto, em síntese, a construção de praças e a execução de obras de drenagem e pavimentação em ruas do município. Em seu despacho, o relator destacou que a exigência de número mínimo de atestados, para comprovar a capacitação técnico-operacional, tem sido reiteradamente rejeitada pelo TCU, porque, além de estar em dissonância com a Lei n.º 8.666/93, desiguala, em tese, concorrentes com as mesmas qualificações técnicas. Assinalou, no entanto, que o Tribunal, por vezes, a admite, desde que o estabelecimento de um número definido seja justificado e considerado necessário à garantia da execução do contrato, à segurança e perfeição da obra ou do serviço, à regularidade do fornecimento ou ao atendimento de qualquer outro interesse público. No caso concreto, entretanto, </w:t>
      </w:r>
      <w:r w:rsidRPr="00590CA3">
        <w:rPr>
          <w:rFonts w:ascii="Arial" w:eastAsia="Calibri" w:hAnsi="Arial" w:cs="Arial"/>
          <w:i/>
          <w:sz w:val="24"/>
        </w:rPr>
        <w:t>“mostrou-se imprópria, a princípio, a cláusula em questão”</w:t>
      </w:r>
      <w:r w:rsidRPr="00590CA3">
        <w:rPr>
          <w:rFonts w:ascii="Arial" w:eastAsia="Calibri" w:hAnsi="Arial" w:cs="Arial"/>
          <w:sz w:val="24"/>
        </w:rPr>
        <w:t xml:space="preserve">. Segundo o relator, este e outros fatos mencionados pela representante, somados ao pequeno número de empresas que acorreram a cada um dos certames, suscitavam questionamentos acerca da real disputa entre os participantes. Por fim, o relator considerou presentes o </w:t>
      </w:r>
      <w:r w:rsidRPr="00590CA3">
        <w:rPr>
          <w:rFonts w:ascii="Arial" w:eastAsia="Calibri" w:hAnsi="Arial" w:cs="Arial"/>
          <w:b/>
          <w:sz w:val="24"/>
        </w:rPr>
        <w:t>fumus boni iuris</w:t>
      </w:r>
      <w:r w:rsidRPr="00590CA3">
        <w:rPr>
          <w:rFonts w:ascii="Arial" w:eastAsia="Calibri" w:hAnsi="Arial" w:cs="Arial"/>
          <w:sz w:val="24"/>
        </w:rPr>
        <w:t xml:space="preserve"> e o </w:t>
      </w:r>
      <w:r w:rsidRPr="00590CA3">
        <w:rPr>
          <w:rFonts w:ascii="Arial" w:eastAsia="Calibri" w:hAnsi="Arial" w:cs="Arial"/>
          <w:b/>
          <w:sz w:val="24"/>
        </w:rPr>
        <w:t>periculum in mora</w:t>
      </w:r>
      <w:r w:rsidRPr="00590CA3">
        <w:rPr>
          <w:rFonts w:ascii="Arial" w:eastAsia="Calibri" w:hAnsi="Arial" w:cs="Arial"/>
          <w:sz w:val="24"/>
        </w:rPr>
        <w:t xml:space="preserve">, requisitos indispensáveis ao deferimento da medida cautelar, referendada pelo Plenário. </w:t>
      </w:r>
      <w:r w:rsidRPr="00590CA3">
        <w:rPr>
          <w:rFonts w:ascii="Arial" w:eastAsia="Calibri" w:hAnsi="Arial" w:cs="Arial"/>
          <w:b/>
          <w:i/>
          <w:sz w:val="24"/>
        </w:rPr>
        <w:t>Decisão monocrática no TC-021.115/2010-9, rel. Min. Benjamin Zymler, 18.08.2010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Exigência editalícia de que um dos atestados envolva objeto idêntico ao licitado</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O relator comunicou ao Plenário haver adotado medida cautelar determinando à Prefeitura Municipal de Ibatiba/ES que se abstivesse de praticar </w:t>
      </w:r>
      <w:r w:rsidRPr="00590CA3">
        <w:rPr>
          <w:rFonts w:ascii="Arial" w:eastAsia="Calibri" w:hAnsi="Arial" w:cs="Arial"/>
          <w:i/>
          <w:iCs/>
          <w:sz w:val="24"/>
        </w:rPr>
        <w:t xml:space="preserve">“quaisquer atos visando dar execução” </w:t>
      </w:r>
      <w:r w:rsidRPr="00590CA3">
        <w:rPr>
          <w:rFonts w:ascii="Arial" w:eastAsia="Calibri" w:hAnsi="Arial" w:cs="Arial"/>
          <w:sz w:val="24"/>
        </w:rPr>
        <w:t xml:space="preserve">aos contratos decorrentes das Tomadas de Preços </w:t>
      </w:r>
      <w:r w:rsidRPr="00590CA3">
        <w:rPr>
          <w:rFonts w:ascii="Arial" w:eastAsia="Calibri" w:hAnsi="Arial" w:cs="Arial"/>
          <w:sz w:val="24"/>
        </w:rPr>
        <w:lastRenderedPageBreak/>
        <w:t>n.</w:t>
      </w:r>
      <w:r w:rsidRPr="00590CA3">
        <w:rPr>
          <w:rFonts w:ascii="Arial" w:eastAsia="Calibri" w:hAnsi="Arial" w:cs="Arial"/>
          <w:sz w:val="24"/>
          <w:vertAlign w:val="superscript"/>
        </w:rPr>
        <w:t>os</w:t>
      </w:r>
      <w:r w:rsidRPr="00590CA3">
        <w:rPr>
          <w:rFonts w:ascii="Arial" w:eastAsia="Calibri" w:hAnsi="Arial" w:cs="Arial"/>
          <w:sz w:val="24"/>
        </w:rPr>
        <w:t xml:space="preserve"> 3 a 8/2010, até que o Tribunal decida sobre o mérito das questões levantadas em processo de representação. Os referidos certames tiveram como objeto, em síntese, a construção de praças e a execução de obras de drenagem e pavimentação em ruas do município. Em seu despacho, o relator chamou a atenção para o fato de que o edital exigia que um dos atestados apresentasse objeto idêntico ao licitado, ao passo que a Lei n.º 8.666/93, em seu art. 30, § 1º, I, estabelece que a comprovação de aptidão para execução de obra ou serviço deve ser pertinente e compatível, em características, quantidades e prazos, com o objeto da licitação. Para o relator, a melhor exegese da norma é a de que </w:t>
      </w:r>
      <w:r w:rsidRPr="00590CA3">
        <w:rPr>
          <w:rFonts w:ascii="Arial" w:eastAsia="Calibri" w:hAnsi="Arial" w:cs="Arial"/>
          <w:i/>
          <w:sz w:val="24"/>
        </w:rPr>
        <w:t>“a referida comprovação de aptidão deva ser demonstrada exclusivamente mediante a comprovação de serviços similares, e não idênticos àqueles a serem contratados. Os quesitos a serem exigidos nos atestados devem, ainda, ficar restritos ao mínimo necessário a assegurar a competência técnica da licitante”</w:t>
      </w:r>
      <w:r w:rsidRPr="00590CA3">
        <w:rPr>
          <w:rFonts w:ascii="Arial" w:eastAsia="Calibri" w:hAnsi="Arial" w:cs="Arial"/>
          <w:sz w:val="24"/>
        </w:rPr>
        <w:t xml:space="preserve">. De acordo com o relator, este e outros fatos mencionados pela representante, somados ao pequeno número de empresas que acorreram a cada um dos certames, suscitavam questionamentos acerca da real disputa entre os participantes. Por fim, considerou presentes o </w:t>
      </w:r>
      <w:r w:rsidRPr="00590CA3">
        <w:rPr>
          <w:rFonts w:ascii="Arial" w:eastAsia="Calibri" w:hAnsi="Arial" w:cs="Arial"/>
          <w:b/>
          <w:sz w:val="24"/>
        </w:rPr>
        <w:t>fumus boni iuris</w:t>
      </w:r>
      <w:r w:rsidRPr="00590CA3">
        <w:rPr>
          <w:rFonts w:ascii="Arial" w:eastAsia="Calibri" w:hAnsi="Arial" w:cs="Arial"/>
          <w:sz w:val="24"/>
        </w:rPr>
        <w:t xml:space="preserve"> e o </w:t>
      </w:r>
      <w:r w:rsidRPr="00590CA3">
        <w:rPr>
          <w:rFonts w:ascii="Arial" w:eastAsia="Calibri" w:hAnsi="Arial" w:cs="Arial"/>
          <w:b/>
          <w:sz w:val="24"/>
        </w:rPr>
        <w:t>periculum in mora</w:t>
      </w:r>
      <w:r w:rsidRPr="00590CA3">
        <w:rPr>
          <w:rFonts w:ascii="Arial" w:eastAsia="Calibri" w:hAnsi="Arial" w:cs="Arial"/>
          <w:sz w:val="24"/>
        </w:rPr>
        <w:t xml:space="preserve">, requisitos indispensáveis ao deferimento da medida cautelar, referendada pelo Plenário. </w:t>
      </w:r>
      <w:r w:rsidRPr="00590CA3">
        <w:rPr>
          <w:rFonts w:ascii="Arial" w:eastAsia="Calibri" w:hAnsi="Arial" w:cs="Arial"/>
          <w:b/>
          <w:i/>
          <w:sz w:val="24"/>
        </w:rPr>
        <w:t>Decisão monocrática no TC-021.115/2010-9, rel. Min. Benjamin Zymler, 18.08.2010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Necessidade de a vistoria técnica ser realizada, em data única, pelo engenheiro responsável</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O relator comunicou ao Plenário ter adotado medida cautelar determinando à Prefeitura Municipal de Ibatiba/ES que se abstivesse de praticar </w:t>
      </w:r>
      <w:r w:rsidRPr="00590CA3">
        <w:rPr>
          <w:rFonts w:ascii="Arial" w:eastAsia="Calibri" w:hAnsi="Arial" w:cs="Arial"/>
          <w:i/>
          <w:iCs/>
          <w:sz w:val="24"/>
        </w:rPr>
        <w:t xml:space="preserve">“quaisquer atos visando dar execução” </w:t>
      </w:r>
      <w:r w:rsidRPr="00590CA3">
        <w:rPr>
          <w:rFonts w:ascii="Arial" w:eastAsia="Calibri" w:hAnsi="Arial" w:cs="Arial"/>
          <w:sz w:val="24"/>
        </w:rPr>
        <w:t>aos contratos decorrentes das Tomadas de Preços n.</w:t>
      </w:r>
      <w:r w:rsidRPr="00590CA3">
        <w:rPr>
          <w:rFonts w:ascii="Arial" w:eastAsia="Calibri" w:hAnsi="Arial" w:cs="Arial"/>
          <w:sz w:val="24"/>
          <w:vertAlign w:val="superscript"/>
        </w:rPr>
        <w:t>os</w:t>
      </w:r>
      <w:r w:rsidRPr="00590CA3">
        <w:rPr>
          <w:rFonts w:ascii="Arial" w:eastAsia="Calibri" w:hAnsi="Arial" w:cs="Arial"/>
          <w:sz w:val="24"/>
        </w:rPr>
        <w:t xml:space="preserve"> 3 a 8/2010, até que o Tribunal decida sobre o mérito das questões levantadas em processo de representação. Os referidos certames tiveram como objeto, em síntese, a construção de praças e a execução de obras de drenagem e pavimentação em ruas do município. Em seu despacho, o relator ressaltou que a exigência de que a vistoria técnica fosse realizada, necessariamente, pelo engenheiro responsável pela execução da obra não guarda correspondência com a legislação que disciplina a matéria. Isso porque </w:t>
      </w:r>
      <w:r w:rsidRPr="00590CA3">
        <w:rPr>
          <w:rFonts w:ascii="Arial" w:eastAsia="Calibri" w:hAnsi="Arial" w:cs="Arial"/>
          <w:sz w:val="24"/>
        </w:rPr>
        <w:lastRenderedPageBreak/>
        <w:t xml:space="preserve">o art. 30, III, da Lei n.º 8.666/93 admite exigir do participante comprovação, fornecida pelo órgão licitante, de que tomou conhecimento das informações e condições locais para o cumprimento das obrigações objeto da licitação, porém não fixa a necessidade de que um engenheiro visite pessoalmente as instalações para avaliação das condições de execução dos serviços. O que deve ser levado em consideração é </w:t>
      </w:r>
      <w:r w:rsidRPr="00590CA3">
        <w:rPr>
          <w:rFonts w:ascii="Arial" w:eastAsia="Calibri" w:hAnsi="Arial" w:cs="Arial"/>
          <w:i/>
          <w:sz w:val="24"/>
        </w:rPr>
        <w:t>“o ônus imposto aos licitantes para o cumprimento desses requisitos e sua razoabilidade e proporcionalidade em face da complexidade dos serviços a serem executados”</w:t>
      </w:r>
      <w:r w:rsidRPr="00590CA3">
        <w:rPr>
          <w:rFonts w:ascii="Arial" w:eastAsia="Calibri" w:hAnsi="Arial" w:cs="Arial"/>
          <w:sz w:val="24"/>
        </w:rPr>
        <w:t xml:space="preserve">. No que diz respeito à designação de data única para a realização de vistoria no local das obras, o relator assinalou ser uma prática que deve ser evitada, dada a possibilidade de acarretar prejuízo à formulação das propostas por parte dos interessados. Segundo ele, estes e outros fatos mencionados pela representante, somados ao pequeno número de empresas que acorreram a cada um dos certames, suscitavam questionamentos acerca da real disputa entre os participantes. Por fim, o relator considerou presentes o </w:t>
      </w:r>
      <w:r w:rsidRPr="00590CA3">
        <w:rPr>
          <w:rFonts w:ascii="Arial" w:eastAsia="Calibri" w:hAnsi="Arial" w:cs="Arial"/>
          <w:b/>
          <w:sz w:val="24"/>
        </w:rPr>
        <w:t>fumus boni iuris</w:t>
      </w:r>
      <w:r w:rsidRPr="00590CA3">
        <w:rPr>
          <w:rFonts w:ascii="Arial" w:eastAsia="Calibri" w:hAnsi="Arial" w:cs="Arial"/>
          <w:sz w:val="24"/>
        </w:rPr>
        <w:t xml:space="preserve"> e o </w:t>
      </w:r>
      <w:r w:rsidRPr="00590CA3">
        <w:rPr>
          <w:rFonts w:ascii="Arial" w:eastAsia="Calibri" w:hAnsi="Arial" w:cs="Arial"/>
          <w:b/>
          <w:sz w:val="24"/>
        </w:rPr>
        <w:t>periculum in mora</w:t>
      </w:r>
      <w:r w:rsidRPr="00590CA3">
        <w:rPr>
          <w:rFonts w:ascii="Arial" w:eastAsia="Calibri" w:hAnsi="Arial" w:cs="Arial"/>
          <w:sz w:val="24"/>
        </w:rPr>
        <w:t xml:space="preserve">, requisitos indispensáveis ao deferimento da medida cautelar, referendada pelo Plenário. </w:t>
      </w:r>
      <w:r w:rsidRPr="00590CA3">
        <w:rPr>
          <w:rFonts w:ascii="Arial" w:eastAsia="Calibri" w:hAnsi="Arial" w:cs="Arial"/>
          <w:b/>
          <w:i/>
          <w:sz w:val="24"/>
        </w:rPr>
        <w:t>Decisão monocrática no TC-021.115/2010-9, rel. Min. Benjamin Zymler, 18.08.2010</w:t>
      </w:r>
      <w:r w:rsidRPr="00590CA3">
        <w:rPr>
          <w:rFonts w:ascii="Arial" w:eastAsia="Calibri" w:hAnsi="Arial" w:cs="Arial"/>
          <w:sz w:val="24"/>
        </w:rPr>
        <w:t>.</w:t>
      </w:r>
    </w:p>
    <w:p w:rsidR="004570CC" w:rsidRPr="00590CA3" w:rsidRDefault="004570CC" w:rsidP="00633EA3">
      <w:pPr>
        <w:spacing w:before="120" w:after="240" w:line="240" w:lineRule="auto"/>
        <w:jc w:val="both"/>
        <w:rPr>
          <w:rFonts w:ascii="Arial" w:eastAsia="Calibri" w:hAnsi="Arial" w:cs="Arial"/>
          <w:sz w:val="24"/>
        </w:rPr>
      </w:pPr>
    </w:p>
    <w:p w:rsidR="004570CC" w:rsidRPr="00590CA3" w:rsidRDefault="004570CC" w:rsidP="00633EA3">
      <w:pPr>
        <w:spacing w:before="120" w:after="240" w:line="240" w:lineRule="auto"/>
        <w:jc w:val="both"/>
        <w:rPr>
          <w:rFonts w:ascii="Arial" w:eastAsia="Calibri" w:hAnsi="Arial" w:cs="Arial"/>
          <w:b/>
          <w:sz w:val="28"/>
        </w:rPr>
      </w:pPr>
      <w:r w:rsidRPr="00590CA3">
        <w:rPr>
          <w:rFonts w:ascii="Arial" w:eastAsia="Calibri" w:hAnsi="Arial" w:cs="Arial"/>
          <w:b/>
          <w:sz w:val="28"/>
        </w:rPr>
        <w:t>Início de obras emergenciais sem a assinatura do respectivo contrato</w:t>
      </w:r>
    </w:p>
    <w:p w:rsidR="004570CC" w:rsidRPr="00590CA3" w:rsidRDefault="004570CC"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O TCU tem firmado entendimento no sentido de que, no caso das obras rodoviárias do Programa Emergencial de Trafegabilidade e Segurança nas Estradas (Petse), a ausência de instrumento de contrato, desde que reste comprovada a não ocorrência de atos lesivos ao erário, é irregularidade que permite a continuidade da obra mediante o saneamento do vício original. Com base nesse entendimento, ao apreciar relatório de levantamento de auditoria realizado nas obras emergenciais da Ponte Manoel Ribas, na BR-476/PR, em que se identificou tal irregularidade, o relator, dissentindo da unidade técnica, ponderou que os serviços de restauração, urgentemente demandados, não poderiam se subordinar ao </w:t>
      </w:r>
      <w:r w:rsidRPr="00590CA3">
        <w:rPr>
          <w:rFonts w:ascii="Arial" w:eastAsia="Calibri" w:hAnsi="Arial" w:cs="Arial"/>
          <w:i/>
          <w:sz w:val="24"/>
        </w:rPr>
        <w:t>“lento processamento burocrático das preliminares formais da contratação”</w:t>
      </w:r>
      <w:r w:rsidRPr="00590CA3">
        <w:rPr>
          <w:rFonts w:ascii="Arial" w:eastAsia="Calibri" w:hAnsi="Arial" w:cs="Arial"/>
          <w:sz w:val="24"/>
        </w:rPr>
        <w:t xml:space="preserve">. No caso concreto, embora os trâmites burocráticos para a assinatura do contrato tenham sido particularmente longos – quase </w:t>
      </w:r>
      <w:r w:rsidRPr="00590CA3">
        <w:rPr>
          <w:rFonts w:ascii="Arial" w:eastAsia="Calibri" w:hAnsi="Arial" w:cs="Arial"/>
          <w:sz w:val="24"/>
        </w:rPr>
        <w:lastRenderedPageBreak/>
        <w:t xml:space="preserve">cinco meses depois de iniciados os serviços –, o relator entendeu ser aplicável o posicionamento uniformemente adotado pelo Tribunal diante dessa irregularidade. Com efeito, </w:t>
      </w:r>
      <w:r w:rsidRPr="00590CA3">
        <w:rPr>
          <w:rFonts w:ascii="Arial" w:eastAsia="Calibri" w:hAnsi="Arial" w:cs="Arial"/>
          <w:i/>
          <w:sz w:val="24"/>
        </w:rPr>
        <w:t>“nada de mais grave resultou da inexistência do contrato durante os serviços iniciais, tendo ambas as partes contratantes se exposto a riscos comparáveis pela falta do instrumento”</w:t>
      </w:r>
      <w:r w:rsidRPr="00590CA3">
        <w:rPr>
          <w:rFonts w:ascii="Arial" w:eastAsia="Calibri" w:hAnsi="Arial" w:cs="Arial"/>
          <w:sz w:val="24"/>
        </w:rPr>
        <w:t>, em prol da celeridade na execução dos serviços. O Plenário acolheu o voto do relator.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1.153/2006, 1.666/2006 e 395/2008, todos do Plenário. </w:t>
      </w:r>
      <w:r w:rsidRPr="00590CA3">
        <w:rPr>
          <w:rFonts w:ascii="Arial" w:eastAsia="Calibri" w:hAnsi="Arial" w:cs="Arial"/>
          <w:b/>
          <w:i/>
          <w:sz w:val="24"/>
        </w:rPr>
        <w:t>Acórdão n.º 2049/2010-Plenário, TC-002.385/2006-2, rel. Min. Augusto Nardes, 18.08.2010</w:t>
      </w:r>
      <w:r w:rsidRPr="00590CA3">
        <w:rPr>
          <w:rFonts w:ascii="Arial" w:eastAsia="Calibri" w:hAnsi="Arial" w:cs="Arial"/>
          <w:sz w:val="24"/>
        </w:rPr>
        <w:t>.</w:t>
      </w:r>
    </w:p>
    <w:p w:rsidR="00A050DE" w:rsidRPr="00590CA3" w:rsidRDefault="00A050DE" w:rsidP="00633EA3">
      <w:pPr>
        <w:spacing w:before="120" w:after="240" w:line="240" w:lineRule="auto"/>
        <w:rPr>
          <w:rFonts w:ascii="Arial" w:eastAsia="Calibri" w:hAnsi="Arial" w:cs="Arial"/>
          <w:b/>
          <w:sz w:val="32"/>
        </w:rPr>
      </w:pPr>
    </w:p>
    <w:p w:rsidR="004570CC" w:rsidRPr="00590CA3" w:rsidRDefault="004570CC"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31.</w:t>
      </w:r>
    </w:p>
    <w:p w:rsidR="00A050DE" w:rsidRPr="00590CA3" w:rsidRDefault="00A050DE" w:rsidP="00633EA3">
      <w:pPr>
        <w:spacing w:before="120" w:after="240" w:line="240" w:lineRule="auto"/>
        <w:jc w:val="both"/>
        <w:rPr>
          <w:rFonts w:ascii="Arial" w:eastAsia="Calibri" w:hAnsi="Arial" w:cs="Arial"/>
          <w:sz w:val="28"/>
        </w:rPr>
      </w:pPr>
      <w:r w:rsidRPr="00590CA3">
        <w:rPr>
          <w:rFonts w:ascii="Arial" w:eastAsia="Calibri" w:hAnsi="Arial" w:cs="Arial"/>
          <w:b/>
          <w:sz w:val="28"/>
        </w:rPr>
        <w:t>Fraude à licitação: apresentação de atestado com conteúdo falso como razão suficiente para declaração de inidoneidade de licitante pelo TCU</w:t>
      </w:r>
    </w:p>
    <w:p w:rsidR="00A050DE" w:rsidRDefault="00A050DE" w:rsidP="001522A7">
      <w:pPr>
        <w:spacing w:before="120" w:after="240" w:line="360" w:lineRule="auto"/>
        <w:jc w:val="both"/>
        <w:rPr>
          <w:rFonts w:ascii="Arial" w:eastAsia="Calibri" w:hAnsi="Arial" w:cs="Arial"/>
          <w:b/>
          <w:i/>
          <w:sz w:val="24"/>
        </w:rPr>
      </w:pPr>
      <w:r w:rsidRPr="00590CA3">
        <w:rPr>
          <w:rFonts w:ascii="Arial" w:eastAsia="Calibri" w:hAnsi="Arial" w:cs="Arial"/>
          <w:sz w:val="24"/>
        </w:rPr>
        <w:t xml:space="preserve">Representação formulada ao TCU noticiou que na </w:t>
      </w:r>
      <w:r w:rsidRPr="00590CA3">
        <w:rPr>
          <w:rFonts w:ascii="Arial" w:eastAsia="Calibri" w:hAnsi="Arial" w:cs="Arial"/>
          <w:sz w:val="24"/>
          <w:lang w:val="pt-PT"/>
        </w:rPr>
        <w:t xml:space="preserve">Concorrência nº 3/2008, realizada pelo </w:t>
      </w:r>
      <w:r w:rsidRPr="00590CA3">
        <w:rPr>
          <w:rFonts w:ascii="Arial" w:eastAsia="Calibri" w:hAnsi="Arial" w:cs="Arial"/>
          <w:sz w:val="24"/>
        </w:rPr>
        <w:t>Instituto Federal de Educação, Ciência e Tecnologia do Amazonas – Ifam</w:t>
      </w:r>
      <w:r w:rsidRPr="00590CA3">
        <w:rPr>
          <w:rFonts w:ascii="Arial" w:eastAsia="Calibri" w:hAnsi="Arial" w:cs="Arial"/>
          <w:sz w:val="24"/>
          <w:lang w:val="pt-PT"/>
        </w:rPr>
        <w:t>, cujo objeto constituiu-se na</w:t>
      </w:r>
      <w:r w:rsidRPr="00590CA3">
        <w:rPr>
          <w:rFonts w:ascii="Arial" w:eastAsia="Calibri" w:hAnsi="Arial" w:cs="Arial"/>
          <w:sz w:val="24"/>
        </w:rPr>
        <w:t xml:space="preserve"> construção do </w:t>
      </w:r>
      <w:r w:rsidRPr="00590CA3">
        <w:rPr>
          <w:rFonts w:ascii="Arial" w:eastAsia="Calibri" w:hAnsi="Arial" w:cs="Arial"/>
          <w:b/>
          <w:sz w:val="24"/>
        </w:rPr>
        <w:t>campus</w:t>
      </w:r>
      <w:r w:rsidRPr="00590CA3">
        <w:rPr>
          <w:rFonts w:ascii="Arial" w:eastAsia="Calibri" w:hAnsi="Arial" w:cs="Arial"/>
          <w:sz w:val="24"/>
        </w:rPr>
        <w:t xml:space="preserve"> do Centro Federal de Educação Tecnológica no Município de Presidente Figueiredo/AM, empresa licitante apresentou </w:t>
      </w:r>
      <w:r w:rsidRPr="00590CA3">
        <w:rPr>
          <w:rFonts w:ascii="Arial" w:eastAsia="Calibri" w:hAnsi="Arial" w:cs="Arial"/>
          <w:sz w:val="24"/>
          <w:lang w:val="pt-PT"/>
        </w:rPr>
        <w:t xml:space="preserve">atestado de capacidade técnica com conteúdo possivelmente falso, com vistas a sua habilitação no certame. Para apuração dos fatos, a unidade técnica responsável pela instrução do feito promoveu uma série de audiências, inclusive da própria empresa responsável pela potencial fraude, a qual alegou erro de entendimento quanto ao que fora exigido a título de comprovação de capacidade técnica. De acordo com a empresa respondente, o texto do edital seria dúbio, ao </w:t>
      </w:r>
      <w:r w:rsidRPr="00590CA3">
        <w:rPr>
          <w:rFonts w:ascii="Arial" w:eastAsia="Calibri" w:hAnsi="Arial" w:cs="Arial"/>
          <w:sz w:val="24"/>
        </w:rPr>
        <w:t>requerer “</w:t>
      </w:r>
      <w:r w:rsidRPr="00590CA3">
        <w:rPr>
          <w:rFonts w:ascii="Arial" w:eastAsia="Calibri" w:hAnsi="Arial" w:cs="Arial"/>
          <w:i/>
          <w:sz w:val="24"/>
        </w:rPr>
        <w:t>execução de obra ou serviço com complexidade equivalente</w:t>
      </w:r>
      <w:r w:rsidRPr="00590CA3">
        <w:rPr>
          <w:rFonts w:ascii="Arial" w:eastAsia="Calibri" w:hAnsi="Arial" w:cs="Arial"/>
          <w:sz w:val="24"/>
        </w:rPr>
        <w:t xml:space="preserve">”. Daí, apresentara atestado no qual constava, erroneamente digitado, construção de obra em vez de projeto. Todavia, a unidade técnica registrou não se sustentar o argumento da potencial fraudadora de se tratar de equívoco quanto à interpretação. Para a unidade técnica, a evidência de fraude quanto ao conteúdo do atestado de capacidade técnica seria determinante para o Tribunal declarar a inidoneidade da licitante. Ao se pronunciar nos autos, o representante do Ministério Público junto ao TCU </w:t>
      </w:r>
      <w:r w:rsidRPr="00590CA3">
        <w:rPr>
          <w:rFonts w:ascii="Arial" w:eastAsia="Calibri" w:hAnsi="Arial" w:cs="Arial"/>
          <w:sz w:val="24"/>
        </w:rPr>
        <w:lastRenderedPageBreak/>
        <w:t>– MP/TCU - afirmou que a potencial fraudadora “</w:t>
      </w:r>
      <w:r w:rsidRPr="00590CA3">
        <w:rPr>
          <w:rFonts w:ascii="Arial" w:eastAsia="Calibri" w:hAnsi="Arial" w:cs="Arial"/>
          <w:i/>
          <w:sz w:val="24"/>
        </w:rPr>
        <w:t>apresentou atestado de capacidade técnica com informação falsa. O documento informava que a empresa foi a responsável pela execução de obras de engenharia, quando na verdade apenas elaborou os projetos para essa execução</w:t>
      </w:r>
      <w:r w:rsidRPr="00590CA3">
        <w:rPr>
          <w:rFonts w:ascii="Arial" w:eastAsia="Calibri" w:hAnsi="Arial" w:cs="Arial"/>
          <w:sz w:val="24"/>
        </w:rPr>
        <w:t>”, sendo “</w:t>
      </w:r>
      <w:r w:rsidRPr="00590CA3">
        <w:rPr>
          <w:rFonts w:ascii="Arial" w:eastAsia="Calibri" w:hAnsi="Arial" w:cs="Arial"/>
          <w:i/>
          <w:sz w:val="24"/>
        </w:rPr>
        <w:t>clara a intenção da empresa em demonstrar que foi a responsável pela execução física das obras de engenharia</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Assim, ante a evidência de fraude à licitação, o MP/TCU considerou adequada a proposta da unidade técnica de se declarar a inidoneidade da licitante responsável pela apresentação do documento. O relator do feito, ministro-substituto André Luís de Carvalho, concordou com as análises procedidas tanto pela unidade técnica, quanto pelo MP/TCU, acerca do intuito da licitante: fraudar o processo licitatório. Todavia, para o relator, haveria incerteza se a situação examinada perfaria “</w:t>
      </w:r>
      <w:r w:rsidRPr="00590CA3">
        <w:rPr>
          <w:rFonts w:ascii="Arial" w:eastAsia="Calibri" w:hAnsi="Arial" w:cs="Arial"/>
          <w:i/>
          <w:sz w:val="24"/>
        </w:rPr>
        <w:t>todos os elementos caracterizadores da ‘fraude comprovada a licitação’, para fins de declaração de inidoneidade da empresa</w:t>
      </w:r>
      <w:r w:rsidRPr="00590CA3">
        <w:rPr>
          <w:rFonts w:ascii="Arial" w:eastAsia="Calibri" w:hAnsi="Arial" w:cs="Arial"/>
          <w:sz w:val="24"/>
        </w:rPr>
        <w:t>”. Citando precedente jurisprudencial do TCU, destacou o relator que a fraude comprovada à licitação, como sustentáculo para declaração de inidoneidade de licitante pelo Tribunal, exigiria a concretização do resultado, isto é, o prejuízo efetivo ao certame, tendo em conta o estabelecido no art. 46 da Lei Orgânica do TCU (</w:t>
      </w:r>
      <w:r w:rsidRPr="00590CA3">
        <w:rPr>
          <w:rFonts w:ascii="Arial" w:eastAsia="Calibri" w:hAnsi="Arial" w:cs="Arial"/>
          <w:i/>
          <w:sz w:val="24"/>
        </w:rPr>
        <w:t>Art. 46. Verificada a ocorrência de fraude comprovada à licitação, o Tribunal declarará a inidoneidade do licitante fraudador para participar, por até cinco anos, de licitação na Administração Pública Federal.</w:t>
      </w:r>
      <w:r w:rsidRPr="00590CA3">
        <w:rPr>
          <w:rFonts w:ascii="Arial" w:eastAsia="Calibri" w:hAnsi="Arial" w:cs="Arial"/>
          <w:sz w:val="24"/>
        </w:rPr>
        <w:t>). Como, na espécie, não teria havido a materialização do prejuízo, uma vez que a falsidade da documentação fora descoberta pelo Ifam, não caberia ao TCU, por conseguinte, punir a tentativa de fraude por parte da licitante. Todavia, o ministro-revisor, Walton Alencar Rodrigues, dissentiu do encaminhamento proposto pelo relator do feito. Para o revisor, o atestado apresentado pela potencial fraudadora, absolutamente falso, viabilizou a participação desta no processo licitatório. E, ainda para o revisor, “</w:t>
      </w:r>
      <w:r w:rsidRPr="00590CA3">
        <w:rPr>
          <w:rFonts w:ascii="Arial" w:eastAsia="Calibri" w:hAnsi="Arial" w:cs="Arial"/>
          <w:i/>
          <w:sz w:val="24"/>
        </w:rPr>
        <w:t>Nos termos da consolidada jurisprudência do Tribunal de Contas da União, a mera apresentação de atestado com conteúdo falso caracteriza o ilícito administrativo previsto no art. 46 da Lei Orgânica do TCU e faz surgir a possibilidade de declarar a inidoneidade da licitante fraudadora</w:t>
      </w:r>
      <w:r w:rsidRPr="00590CA3">
        <w:rPr>
          <w:rFonts w:ascii="Arial" w:eastAsia="Calibri" w:hAnsi="Arial" w:cs="Arial"/>
          <w:sz w:val="24"/>
        </w:rPr>
        <w:t xml:space="preserve">”. Desse modo, acolhendo as conclusões da unidade técnica, votou pela declaração de inidoneidade da licitante responsável pela apresentação do atestado com conteúdo falso, no que foi acompanhado pelos ministros </w:t>
      </w:r>
      <w:r w:rsidRPr="00590CA3">
        <w:rPr>
          <w:rFonts w:ascii="Arial" w:eastAsia="Calibri" w:hAnsi="Arial" w:cs="Arial"/>
          <w:sz w:val="24"/>
        </w:rPr>
        <w:lastRenderedPageBreak/>
        <w:t xml:space="preserve">Raimundo Carreiro, José Jorge e José Múcio Monteiro. Ficaram vencidos, na linha da proposta do relator, os ministros Valmir Campelo, Augusto Nardes e Aroldo Cedraz. O relator, ministro-substituto André Luís de Carvalho, não votou, por não estar substituindo naquela oportunidade. . Precedentes citados: Acórdãos 630/2006 e 548/2007, ambos do Plenário. </w:t>
      </w:r>
      <w:r w:rsidRPr="00590CA3">
        <w:rPr>
          <w:rFonts w:ascii="Arial" w:eastAsia="Calibri" w:hAnsi="Arial" w:cs="Arial"/>
          <w:b/>
          <w:i/>
          <w:sz w:val="24"/>
        </w:rPr>
        <w:t>Acórdão n.º 2.179/2010-Plenário, TC-016.488/2009-6, rel. Min-Subst. André Luís de Carvalho, revisor Min. Walton Alencar Rodrigues, 25.08.2010.</w:t>
      </w:r>
    </w:p>
    <w:p w:rsidR="001522A7" w:rsidRPr="00590CA3" w:rsidRDefault="001522A7" w:rsidP="001522A7">
      <w:pPr>
        <w:spacing w:before="120" w:after="240" w:line="360" w:lineRule="auto"/>
        <w:jc w:val="both"/>
        <w:rPr>
          <w:rFonts w:ascii="Arial" w:eastAsia="Calibri" w:hAnsi="Arial" w:cs="Arial"/>
          <w:sz w:val="24"/>
        </w:rPr>
      </w:pPr>
    </w:p>
    <w:p w:rsidR="00A050DE" w:rsidRPr="00590CA3" w:rsidRDefault="00A050DE" w:rsidP="00633EA3">
      <w:pPr>
        <w:spacing w:before="120" w:after="240" w:line="240" w:lineRule="auto"/>
        <w:jc w:val="both"/>
        <w:rPr>
          <w:rFonts w:ascii="Arial" w:eastAsia="Calibri" w:hAnsi="Arial" w:cs="Arial"/>
          <w:b/>
          <w:sz w:val="28"/>
        </w:rPr>
      </w:pPr>
      <w:r w:rsidRPr="00590CA3">
        <w:rPr>
          <w:rFonts w:ascii="Arial" w:eastAsia="Calibri" w:hAnsi="Arial" w:cs="Arial"/>
          <w:b/>
          <w:sz w:val="28"/>
        </w:rPr>
        <w:t>Licitação para obra pública: comprovação de acervo técnico</w:t>
      </w:r>
    </w:p>
    <w:p w:rsidR="00A050DE" w:rsidRPr="00590CA3" w:rsidRDefault="00A050DE" w:rsidP="001522A7">
      <w:pPr>
        <w:spacing w:before="120" w:after="240" w:line="360" w:lineRule="auto"/>
        <w:jc w:val="both"/>
        <w:rPr>
          <w:rFonts w:ascii="Arial" w:eastAsia="Calibri" w:hAnsi="Arial" w:cs="Arial"/>
          <w:b/>
          <w:i/>
          <w:sz w:val="24"/>
        </w:rPr>
      </w:pPr>
      <w:r w:rsidRPr="00590CA3">
        <w:rPr>
          <w:rFonts w:ascii="Arial" w:eastAsia="Calibri" w:hAnsi="Arial" w:cs="Arial"/>
          <w:sz w:val="24"/>
        </w:rPr>
        <w:t>Auditoria realizada pelo TCU, com o objetivo de avaliar a execução, pelo Governo do Estado do Paraná, das obras de construção de unidades habitacionais no Município de Colombo/PR, financiadas com recursos federais, por meio de contrato de repasse, detectou diversas irregularidades, dentre elas, a exigência editalícia de que a comprovação do acervo técnico, para efeitos de qualificação técnica, se desse somente em “</w:t>
      </w:r>
      <w:r w:rsidRPr="00590CA3">
        <w:rPr>
          <w:rFonts w:ascii="Arial" w:eastAsia="Calibri" w:hAnsi="Arial" w:cs="Arial"/>
          <w:i/>
          <w:sz w:val="24"/>
        </w:rPr>
        <w:t>construção em habitação unifamiliar ou multifamiliar, em obras isoladas ou não</w:t>
      </w:r>
      <w:r w:rsidRPr="00590CA3">
        <w:rPr>
          <w:rFonts w:ascii="Arial" w:eastAsia="Calibri" w:hAnsi="Arial" w:cs="Arial"/>
          <w:sz w:val="24"/>
        </w:rPr>
        <w:t>”. Para a unidade técnica, tal exigência seria potencialmente restritiva à competitividade do certame. Ao examinar a matéria, destacou a unidade técnica que tal requisito de qualificação, da maneira como foi redigido, daria “</w:t>
      </w:r>
      <w:r w:rsidRPr="00590CA3">
        <w:rPr>
          <w:rFonts w:ascii="Arial" w:eastAsia="Calibri" w:hAnsi="Arial" w:cs="Arial"/>
          <w:i/>
          <w:sz w:val="24"/>
        </w:rPr>
        <w:t>maior importância à finalidade da construção (habitação) do que às suas características técnicas, que seriam os reais indicadores da complexidade de execução dos serviços. Sem especificar os aspectos técnicos relevantes para fins de qualificação da empresa, há ainda a dificuldade da inexistência de parâmetros objetivos para se avaliar se uma determinada certidão ou atestado é referente à obra de complexidade equivalente ou até superior</w:t>
      </w:r>
      <w:r w:rsidRPr="00590CA3">
        <w:rPr>
          <w:rFonts w:ascii="Arial" w:eastAsia="Calibri" w:hAnsi="Arial" w:cs="Arial"/>
          <w:sz w:val="24"/>
        </w:rPr>
        <w:t>”. O relator, ao concordar com a unidade técnica, registrou que a Lei de Licitações “</w:t>
      </w:r>
      <w:r w:rsidRPr="00590CA3">
        <w:rPr>
          <w:rFonts w:ascii="Arial" w:eastAsia="Calibri" w:hAnsi="Arial" w:cs="Arial"/>
          <w:i/>
          <w:sz w:val="24"/>
        </w:rPr>
        <w:t>estabelece que a documentação relativa à qualificação técnica de capacitação técnico-profissional refere-se à execução de obra ou serviço de características semelhantes</w:t>
      </w:r>
      <w:r w:rsidRPr="00590CA3">
        <w:rPr>
          <w:rFonts w:ascii="Arial" w:eastAsia="Calibri" w:hAnsi="Arial" w:cs="Arial"/>
          <w:sz w:val="24"/>
        </w:rPr>
        <w:t>”. Desse modo, para o relator, “</w:t>
      </w:r>
      <w:r w:rsidRPr="00590CA3">
        <w:rPr>
          <w:rFonts w:ascii="Arial" w:eastAsia="Calibri" w:hAnsi="Arial" w:cs="Arial"/>
          <w:i/>
          <w:sz w:val="24"/>
        </w:rPr>
        <w:t xml:space="preserve">sobressai a orientação de que será sempre admitida a comprovação de aptidão mediante certidões ou atestados de obras ou serviços similares de complexidade tecnológica e operacional equivalente ou superior. </w:t>
      </w:r>
      <w:r w:rsidRPr="00590CA3">
        <w:rPr>
          <w:rFonts w:ascii="Arial" w:eastAsia="Calibri" w:hAnsi="Arial" w:cs="Arial"/>
          <w:sz w:val="24"/>
        </w:rPr>
        <w:t>Por consequência, para ele</w:t>
      </w:r>
      <w:r w:rsidRPr="00590CA3">
        <w:rPr>
          <w:rFonts w:ascii="Arial" w:eastAsia="Calibri" w:hAnsi="Arial" w:cs="Arial"/>
          <w:i/>
          <w:sz w:val="24"/>
        </w:rPr>
        <w:t xml:space="preserve">, </w:t>
      </w:r>
      <w:r w:rsidRPr="00590CA3">
        <w:rPr>
          <w:rFonts w:ascii="Arial" w:eastAsia="Calibri" w:hAnsi="Arial" w:cs="Arial"/>
          <w:sz w:val="24"/>
        </w:rPr>
        <w:t>“</w:t>
      </w:r>
      <w:r w:rsidRPr="00590CA3">
        <w:rPr>
          <w:rFonts w:ascii="Arial" w:eastAsia="Calibri" w:hAnsi="Arial" w:cs="Arial"/>
          <w:i/>
          <w:sz w:val="24"/>
        </w:rPr>
        <w:t xml:space="preserve">bastaria exigir </w:t>
      </w:r>
      <w:r w:rsidRPr="00590CA3">
        <w:rPr>
          <w:rFonts w:ascii="Arial" w:eastAsia="Calibri" w:hAnsi="Arial" w:cs="Arial"/>
          <w:i/>
          <w:sz w:val="24"/>
        </w:rPr>
        <w:lastRenderedPageBreak/>
        <w:t>qualificação técnica em construção de edificações em geral, sem restringir o escopo à habitação unifamiliar ou multifamiliar, o que demonstra a adoção de critérios potencialmente restritivos à competitividade do certame</w:t>
      </w:r>
      <w:r w:rsidRPr="00590CA3">
        <w:rPr>
          <w:rFonts w:ascii="Arial" w:eastAsia="Calibri" w:hAnsi="Arial" w:cs="Arial"/>
          <w:sz w:val="24"/>
        </w:rPr>
        <w:t xml:space="preserve">”. Por conseguinte, propôs, e o Plenário acolheu, expedição de determinação corretiva para futuras licitações a serem realizadas pelo Estado do Paraná. </w:t>
      </w:r>
      <w:r w:rsidRPr="00590CA3">
        <w:rPr>
          <w:rFonts w:ascii="Arial" w:eastAsia="Calibri" w:hAnsi="Arial" w:cs="Arial"/>
          <w:b/>
          <w:i/>
          <w:sz w:val="24"/>
        </w:rPr>
        <w:t>Acórdão n.º 2.152/2010-Plenário, TC-000.276/2010-3, Min-Subst. Marcos Bemquerer Costa, 25.08.2010.</w:t>
      </w:r>
    </w:p>
    <w:p w:rsidR="00A050DE" w:rsidRPr="00590CA3" w:rsidRDefault="00A050DE" w:rsidP="00633EA3">
      <w:pPr>
        <w:spacing w:before="120" w:after="240" w:line="240" w:lineRule="auto"/>
        <w:jc w:val="both"/>
        <w:rPr>
          <w:rFonts w:ascii="Arial" w:eastAsia="Calibri" w:hAnsi="Arial" w:cs="Arial"/>
          <w:b/>
          <w:bCs/>
          <w:sz w:val="24"/>
        </w:rPr>
      </w:pPr>
    </w:p>
    <w:p w:rsidR="00A050DE" w:rsidRPr="00590CA3" w:rsidRDefault="00A050DE" w:rsidP="00633EA3">
      <w:pPr>
        <w:spacing w:before="120" w:after="240" w:line="240" w:lineRule="auto"/>
        <w:jc w:val="both"/>
        <w:rPr>
          <w:rFonts w:ascii="Arial" w:eastAsia="Calibri" w:hAnsi="Arial" w:cs="Arial"/>
          <w:b/>
          <w:bCs/>
          <w:sz w:val="28"/>
        </w:rPr>
      </w:pPr>
      <w:r w:rsidRPr="00590CA3">
        <w:rPr>
          <w:rFonts w:ascii="Arial" w:eastAsia="Calibri" w:hAnsi="Arial" w:cs="Arial"/>
          <w:b/>
          <w:bCs/>
          <w:sz w:val="28"/>
        </w:rPr>
        <w:t>Dispensa de Licitação: necessidade de comprovação de que o imóvel a ser locado é o único que atende aos interesses da Administração Pública</w:t>
      </w:r>
    </w:p>
    <w:p w:rsidR="00A050DE" w:rsidRPr="00590CA3" w:rsidRDefault="00A050DE" w:rsidP="001522A7">
      <w:pPr>
        <w:spacing w:before="120" w:after="240" w:line="360" w:lineRule="auto"/>
        <w:jc w:val="both"/>
        <w:rPr>
          <w:rFonts w:ascii="Arial" w:eastAsia="Calibri" w:hAnsi="Arial" w:cs="Arial"/>
          <w:b/>
          <w:i/>
          <w:sz w:val="24"/>
        </w:rPr>
      </w:pPr>
      <w:r w:rsidRPr="00590CA3">
        <w:rPr>
          <w:rFonts w:ascii="Arial" w:eastAsia="Calibri" w:hAnsi="Arial" w:cs="Arial"/>
          <w:sz w:val="24"/>
        </w:rPr>
        <w:t>Em representação feita ao TCU, foi noticiada possível irregularidade constituída na ausência de licitação e na inobservância dos princípios constitucionais da impessoalidade e da moralidade, quando da locação, com a utilização de recursos públicos da área de saúde, de imóvel de propriedade do cônjuge da ex-Prefeita do município de Guarabiras, na Paraíba. Ao examinar as razões de justificativa apresentadas pela responsável, a unidade técnica registrou o fato de o proprietário do imóvel locado ser esposo da então Prefeita de Guarabiras, ou seja, a Prefeitura havia locado um imóvel da própria Prefeita, por intermédio do esposo desta. Acresceu, ainda, que “</w:t>
      </w:r>
      <w:r w:rsidRPr="00590CA3">
        <w:rPr>
          <w:rFonts w:ascii="Arial" w:eastAsia="Calibri" w:hAnsi="Arial" w:cs="Arial"/>
          <w:i/>
          <w:sz w:val="24"/>
        </w:rPr>
        <w:t>o fato de eventualmente ter havido inabilidade no ato de contratação com dispensa de licitação, com inobservância das devidas cautelas de justificativa como previsto no art. 24, inciso X, da Lei nº 8.666/1993 não conduz à exclusão da culpabilidade</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Caberia, ainda na opinião da unidade técnica, até se discutir o dolo na utilização da dispensa de licitação, mas seria induvidável a ofensa a diversos princípios constitucionais, como o da legalidade, o que levaria à reprovação da conduta da ex-Prefeita. Citando precedente jurisprudencial, a unidade técnica anotou que “</w:t>
      </w:r>
      <w:r w:rsidRPr="00590CA3">
        <w:rPr>
          <w:rFonts w:ascii="Arial" w:eastAsia="Calibri" w:hAnsi="Arial" w:cs="Arial"/>
          <w:i/>
          <w:sz w:val="24"/>
        </w:rPr>
        <w:t>O art. 24, inciso X, da Lei de Licitações estabelece ser dispensável a licitação para a compra ou locação de imóvel destinado ao atendimento das finalidades precípuas da Administração, cujas necessidades de instalação e localização condicionem a sua escolha, desde que o preço seja compatível com o valor de mercado, segundo avaliação prévia</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Assim, “</w:t>
      </w:r>
      <w:r w:rsidRPr="00590CA3">
        <w:rPr>
          <w:rFonts w:ascii="Arial" w:eastAsia="Calibri" w:hAnsi="Arial" w:cs="Arial"/>
          <w:i/>
          <w:sz w:val="24"/>
        </w:rPr>
        <w:t xml:space="preserve">a utilização desse dispositivo só é possível quando se identifica um imóvel específico cujas instalações e </w:t>
      </w:r>
      <w:r w:rsidRPr="00590CA3">
        <w:rPr>
          <w:rFonts w:ascii="Arial" w:eastAsia="Calibri" w:hAnsi="Arial" w:cs="Arial"/>
          <w:i/>
          <w:sz w:val="24"/>
        </w:rPr>
        <w:lastRenderedPageBreak/>
        <w:t>localização sinalizem que ele é o único que atende o interesse da Administração</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Como, na espécie, haveria pelo menos outro imóvel que serviria ao intuito da administração municipal, não seria possível a utilização da hipótese do art. 24, inc. X, da Lei 8.666/1993, como fundamento da contratação direta. O relator, ao concordar com a unidade técnica, destacou, em seu voto, que “</w:t>
      </w:r>
      <w:r w:rsidRPr="00590CA3">
        <w:rPr>
          <w:rFonts w:ascii="Arial" w:eastAsia="Calibri" w:hAnsi="Arial" w:cs="Arial"/>
          <w:i/>
          <w:sz w:val="24"/>
        </w:rPr>
        <w:t>havia pelo menos outro imóvel com características semelhantes, que poderia servir de alternativa à locação</w:t>
      </w:r>
      <w:r w:rsidRPr="00590CA3">
        <w:rPr>
          <w:rFonts w:ascii="Arial" w:eastAsia="Calibri" w:hAnsi="Arial" w:cs="Arial"/>
          <w:sz w:val="24"/>
        </w:rPr>
        <w:t>”, o que, portanto, leva à incorreção quanto ao procedimento de se dispensar a licitação com base no art. 24, inciso X, da Lei nº 8.666/1993. Votou, em consequência, pela aplicação de multa à ex-Prefeita, bem como pela expedição de determinação corretiva e de alerta ao município de Guarabira, a fim de que sejam evitadas ocorrências semelhantes em situações futuras. O Colegiado acolheu, por unanimidade, o encaminhamento sustentado pelo relator. Precedentes citados: Acórdão n.º 444/2008-Plenário.</w:t>
      </w:r>
      <w:r w:rsidRPr="00590CA3">
        <w:rPr>
          <w:rFonts w:ascii="Arial" w:eastAsia="Calibri" w:hAnsi="Arial" w:cs="Arial"/>
          <w:b/>
          <w:i/>
          <w:sz w:val="24"/>
        </w:rPr>
        <w:t xml:space="preserve"> Acórdão n.º 5281/2010-1ª Câmara, TC-030.588/2007-5, rel. Min. José Múcio Monteiro, 24.08.2010.</w:t>
      </w:r>
    </w:p>
    <w:p w:rsidR="004B4517" w:rsidRPr="00590CA3" w:rsidRDefault="004B4517" w:rsidP="00633EA3">
      <w:pPr>
        <w:spacing w:before="120" w:after="240" w:line="240" w:lineRule="auto"/>
        <w:jc w:val="both"/>
        <w:rPr>
          <w:rFonts w:ascii="Arial" w:eastAsia="Calibri" w:hAnsi="Arial" w:cs="Arial"/>
          <w:b/>
          <w:i/>
          <w:sz w:val="24"/>
        </w:rPr>
      </w:pPr>
    </w:p>
    <w:p w:rsidR="00A050DE" w:rsidRPr="00590CA3" w:rsidRDefault="00A050DE" w:rsidP="004B4517">
      <w:pPr>
        <w:spacing w:before="120" w:after="240" w:line="240" w:lineRule="auto"/>
        <w:jc w:val="center"/>
        <w:rPr>
          <w:rFonts w:ascii="Arial" w:eastAsia="Calibri" w:hAnsi="Arial" w:cs="Arial"/>
          <w:b/>
          <w:sz w:val="32"/>
        </w:rPr>
      </w:pPr>
      <w:r w:rsidRPr="00590CA3">
        <w:rPr>
          <w:rFonts w:ascii="Arial" w:eastAsia="Calibri" w:hAnsi="Arial" w:cs="Arial"/>
          <w:b/>
          <w:sz w:val="32"/>
        </w:rPr>
        <w:t>32.</w:t>
      </w:r>
    </w:p>
    <w:p w:rsidR="00A050DE" w:rsidRPr="00590CA3" w:rsidRDefault="00A050DE" w:rsidP="00633EA3">
      <w:pPr>
        <w:spacing w:before="120" w:after="240" w:line="240" w:lineRule="auto"/>
        <w:jc w:val="both"/>
        <w:rPr>
          <w:rFonts w:ascii="Arial" w:eastAsia="Calibri" w:hAnsi="Arial" w:cs="Arial"/>
          <w:b/>
          <w:sz w:val="28"/>
        </w:rPr>
      </w:pPr>
      <w:r w:rsidRPr="00590CA3">
        <w:rPr>
          <w:rFonts w:ascii="Arial" w:eastAsia="Calibri" w:hAnsi="Arial" w:cs="Arial"/>
          <w:b/>
          <w:sz w:val="28"/>
        </w:rPr>
        <w:t>Garantia de contrato: impossibilidade de liberação antes do recebimento definitivo da obra</w:t>
      </w:r>
    </w:p>
    <w:p w:rsidR="00A050DE" w:rsidRPr="00590CA3" w:rsidRDefault="00A050DE"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Recurso de revisão interposto pelo Ministério Público junto ao TCU - MPTCU contra o Acórdão 590/2005-TCU- 1ª Câmara, proferido quando da apreciação da Tomada de Contas Simplificada do Tribunal Regional Eleitoral do Estado de Sergipe - TRE/SE, exercício 2001, teve por intuito discutir possíveis irregularidades na gestão do Contrato nº 8/1997, firmado entre o TRE/SE e a Construtora Augusto Velloso S/A. O acordo teve por objeto a construção do edifício sede do TRE/SE. Dentre as irregularidades discutidas, uma seria a liberação da garantia contratual, sem recebimento definitivo da obra. Ouvido em audiência, o ex-Diretor-Geral do TRE/SE argumentou que o valor da garantia não cobriria os prejuízos causados e que a liberação dos valores não eximiria a empresa contratada de nenhuma responsabilidade. Aduziu, ainda, existir ação judicial do TRE/SE contra a empresa responsável pelas irregularidades, ação que, na visão do gestor, certamente seria exitosa. A </w:t>
      </w:r>
      <w:r w:rsidRPr="00590CA3">
        <w:rPr>
          <w:rFonts w:ascii="Arial" w:eastAsia="Calibri" w:hAnsi="Arial" w:cs="Arial"/>
          <w:sz w:val="24"/>
        </w:rPr>
        <w:lastRenderedPageBreak/>
        <w:t>unidade técnica entendeu inviáveis de aceitação as justificativas apresentadas. Registrou haver deficiências graves na execução do contrato, o que determinaria a não liberação das garantias contratuais, bem como a aplicação de penalidades à empresa. Assim sendo, propôs a irregularidade das contas do responsável, sem prejuízo da aplicação de multa. O relator concordou com a proposta da unidade técnica, destacando, em seu voto, que o ex-Diretor-Geral fora “</w:t>
      </w:r>
      <w:r w:rsidRPr="00590CA3">
        <w:rPr>
          <w:rFonts w:ascii="Arial" w:eastAsia="Calibri" w:hAnsi="Arial" w:cs="Arial"/>
          <w:i/>
          <w:sz w:val="24"/>
        </w:rPr>
        <w:t>absolutamente imprudente”</w:t>
      </w:r>
      <w:r w:rsidRPr="00590CA3">
        <w:rPr>
          <w:rFonts w:ascii="Arial" w:eastAsia="Calibri" w:hAnsi="Arial" w:cs="Arial"/>
          <w:sz w:val="24"/>
        </w:rPr>
        <w:t>, haja vista sua decisão</w:t>
      </w:r>
      <w:r w:rsidRPr="00590CA3">
        <w:rPr>
          <w:rFonts w:ascii="Arial" w:eastAsia="Calibri" w:hAnsi="Arial" w:cs="Arial"/>
          <w:i/>
          <w:sz w:val="24"/>
        </w:rPr>
        <w:t>, “em agosto de 2001, de liberar a garantia contratual</w:t>
      </w:r>
      <w:r w:rsidRPr="00590CA3">
        <w:rPr>
          <w:rFonts w:ascii="Arial" w:eastAsia="Calibri" w:hAnsi="Arial" w:cs="Arial"/>
          <w:sz w:val="24"/>
        </w:rPr>
        <w:t>”, mesmo diante dos problemas quanto à execução do contrato, pois “</w:t>
      </w:r>
      <w:r w:rsidRPr="00590CA3">
        <w:rPr>
          <w:rFonts w:ascii="Arial" w:eastAsia="Calibri" w:hAnsi="Arial" w:cs="Arial"/>
          <w:i/>
          <w:sz w:val="24"/>
        </w:rPr>
        <w:t>salvaguardar o interesse público com a execução da garantia teria sido eficaz, muito embora pudesse não ter sido suficiente</w:t>
      </w:r>
      <w:r w:rsidRPr="00590CA3">
        <w:rPr>
          <w:rFonts w:ascii="Arial" w:eastAsia="Calibri" w:hAnsi="Arial" w:cs="Arial"/>
          <w:sz w:val="24"/>
        </w:rPr>
        <w:t xml:space="preserve">”. Ao final, votou pela irregularidade das contas do ex-Diretor-Geral, bem como pela aplicação de multa ao responsável. O Plenário acolheu o voto do relator. </w:t>
      </w:r>
      <w:r w:rsidRPr="00590CA3">
        <w:rPr>
          <w:rFonts w:ascii="Arial" w:eastAsia="Calibri" w:hAnsi="Arial" w:cs="Arial"/>
          <w:b/>
          <w:i/>
          <w:sz w:val="24"/>
        </w:rPr>
        <w:t>Acórdão n.º 2244/2010-Plenário, TC-006.395/2002-4, rel. Min. Valmir Campelo, 1º.09.2010.</w:t>
      </w:r>
    </w:p>
    <w:p w:rsidR="00A050DE" w:rsidRPr="00590CA3" w:rsidRDefault="00A050DE" w:rsidP="00633EA3">
      <w:pPr>
        <w:spacing w:before="120" w:after="240" w:line="240" w:lineRule="auto"/>
        <w:jc w:val="both"/>
        <w:rPr>
          <w:rFonts w:ascii="Arial" w:eastAsia="Calibri" w:hAnsi="Arial" w:cs="Arial"/>
          <w:sz w:val="24"/>
        </w:rPr>
      </w:pPr>
    </w:p>
    <w:p w:rsidR="004B4517" w:rsidRPr="00590CA3" w:rsidRDefault="00A050DE" w:rsidP="004B4517">
      <w:pPr>
        <w:spacing w:before="120" w:after="240" w:line="240" w:lineRule="auto"/>
        <w:jc w:val="center"/>
        <w:rPr>
          <w:rFonts w:ascii="Arial" w:eastAsia="Calibri" w:hAnsi="Arial" w:cs="Arial"/>
          <w:b/>
          <w:sz w:val="32"/>
        </w:rPr>
      </w:pPr>
      <w:r w:rsidRPr="00590CA3">
        <w:rPr>
          <w:rFonts w:ascii="Arial" w:eastAsia="Calibri" w:hAnsi="Arial" w:cs="Arial"/>
          <w:b/>
          <w:sz w:val="32"/>
        </w:rPr>
        <w:t>33.</w:t>
      </w:r>
    </w:p>
    <w:p w:rsidR="00A050DE" w:rsidRPr="00590CA3" w:rsidRDefault="00A050DE" w:rsidP="00633EA3">
      <w:pPr>
        <w:spacing w:before="120" w:after="240" w:line="240" w:lineRule="auto"/>
        <w:jc w:val="both"/>
        <w:rPr>
          <w:rFonts w:ascii="Arial" w:eastAsia="Calibri" w:hAnsi="Arial" w:cs="Arial"/>
          <w:b/>
          <w:sz w:val="28"/>
        </w:rPr>
      </w:pPr>
      <w:r w:rsidRPr="00590CA3">
        <w:rPr>
          <w:rFonts w:ascii="Arial" w:eastAsia="Calibri" w:hAnsi="Arial" w:cs="Arial"/>
          <w:b/>
          <w:sz w:val="28"/>
        </w:rPr>
        <w:t>Pregão para serviços comuns de engenharia</w:t>
      </w:r>
    </w:p>
    <w:p w:rsidR="00A050DE" w:rsidRPr="00590CA3" w:rsidRDefault="00A050DE" w:rsidP="001522A7">
      <w:pPr>
        <w:spacing w:before="120" w:after="240" w:line="360" w:lineRule="auto"/>
        <w:jc w:val="both"/>
        <w:rPr>
          <w:rFonts w:ascii="Arial" w:eastAsia="Calibri" w:hAnsi="Arial" w:cs="Arial"/>
          <w:sz w:val="24"/>
        </w:rPr>
      </w:pPr>
      <w:r w:rsidRPr="00590CA3">
        <w:rPr>
          <w:rFonts w:ascii="Arial" w:eastAsia="Calibri" w:hAnsi="Arial" w:cs="Arial"/>
          <w:sz w:val="24"/>
        </w:rPr>
        <w:t>Representação formulada ao TCU apontou possíveis irregularidades no edital da Concorrência n.º 8/2010, realizada pela Companhia Docas do Estado de São Paulo S/A (Codesp), destinada à contratação de empresa para prestação de serviços de manutenção do sistema de distribuição de energia elétrica nas áreas comuns do porto de Santos. Segundo a unidade técnica, ainda que não assinalado pela representante,</w:t>
      </w:r>
      <w:r w:rsidRPr="00590CA3">
        <w:rPr>
          <w:rFonts w:ascii="Arial" w:eastAsia="Calibri" w:hAnsi="Arial" w:cs="Arial"/>
          <w:i/>
          <w:sz w:val="24"/>
        </w:rPr>
        <w:t xml:space="preserve"> “o problema central do presente processo consiste no fato de que a licitação ora analisada foi realizada sob a modalidade concorrência, quando, por se tratar de aquisição de serviço comum, deveria ter sido utilizada a modalidade pregão.”</w:t>
      </w:r>
      <w:r w:rsidRPr="00590CA3">
        <w:rPr>
          <w:rFonts w:ascii="Arial" w:eastAsia="Calibri" w:hAnsi="Arial" w:cs="Arial"/>
          <w:sz w:val="24"/>
        </w:rPr>
        <w:t xml:space="preserve">. Para a unidade instrutiva, os serviços objeto da licitação, por mais especializados que sejam, </w:t>
      </w:r>
      <w:r w:rsidRPr="00590CA3">
        <w:rPr>
          <w:rFonts w:ascii="Arial" w:eastAsia="Calibri" w:hAnsi="Arial" w:cs="Arial"/>
          <w:i/>
          <w:sz w:val="24"/>
        </w:rPr>
        <w:t>“referem-se a simples instalação e manutenção de equipamentos e de rede de distribuição de energia elétrica”</w:t>
      </w:r>
      <w:r w:rsidRPr="00590CA3">
        <w:rPr>
          <w:rFonts w:ascii="Arial" w:eastAsia="Calibri" w:hAnsi="Arial" w:cs="Arial"/>
          <w:sz w:val="24"/>
        </w:rPr>
        <w:t>, serviços prestados, em princípio, por diversas empresas e</w:t>
      </w:r>
      <w:r w:rsidRPr="00590CA3">
        <w:rPr>
          <w:rFonts w:ascii="Arial" w:eastAsia="Calibri" w:hAnsi="Arial" w:cs="Arial"/>
          <w:i/>
          <w:sz w:val="24"/>
        </w:rPr>
        <w:t xml:space="preserve"> “comparáveis entre si”</w:t>
      </w:r>
      <w:r w:rsidRPr="00590CA3">
        <w:rPr>
          <w:rFonts w:ascii="Arial" w:eastAsia="Calibri" w:hAnsi="Arial" w:cs="Arial"/>
          <w:sz w:val="24"/>
        </w:rPr>
        <w:t xml:space="preserve">. Não se trata do </w:t>
      </w:r>
      <w:r w:rsidRPr="00590CA3">
        <w:rPr>
          <w:rFonts w:ascii="Arial" w:eastAsia="Calibri" w:hAnsi="Arial" w:cs="Arial"/>
          <w:i/>
          <w:sz w:val="24"/>
        </w:rPr>
        <w:t xml:space="preserve">“fornecimento de equipamentos desenvolvidos por encomenda nem consta do escopo da licitação o desenvolvimento de soluções para problemas específicos. Trata-se, enfim, de </w:t>
      </w:r>
      <w:r w:rsidRPr="00590CA3">
        <w:rPr>
          <w:rFonts w:ascii="Arial" w:eastAsia="Calibri" w:hAnsi="Arial" w:cs="Arial"/>
          <w:i/>
          <w:sz w:val="24"/>
        </w:rPr>
        <w:lastRenderedPageBreak/>
        <w:t>serviços padronizáveis e normalmente disponíveis no mercado de equipamentos, instalações e materiais eletromecânicos.”</w:t>
      </w:r>
      <w:r w:rsidRPr="00590CA3">
        <w:rPr>
          <w:rFonts w:ascii="Arial" w:eastAsia="Calibri" w:hAnsi="Arial" w:cs="Arial"/>
          <w:sz w:val="24"/>
        </w:rPr>
        <w:t xml:space="preserve">. Ao concordar com a unidade técnica, o relator concluiu que, de acordo com a pacífica jurisprudência do Tribunal, </w:t>
      </w:r>
      <w:r w:rsidRPr="00590CA3">
        <w:rPr>
          <w:rFonts w:ascii="Arial" w:eastAsia="Calibri" w:hAnsi="Arial" w:cs="Arial"/>
          <w:i/>
          <w:sz w:val="24"/>
        </w:rPr>
        <w:t>“a entidade deveria ter utilizado a modalidade pregão, preferencialmente em sua forma eletrônica, para realizar a aludida contratação”</w:t>
      </w:r>
      <w:r w:rsidRPr="00590CA3">
        <w:rPr>
          <w:rFonts w:ascii="Arial" w:eastAsia="Calibri" w:hAnsi="Arial" w:cs="Arial"/>
          <w:sz w:val="24"/>
        </w:rPr>
        <w:t xml:space="preserve">. Nos termos do voto do relator, o Plenário decidiu determinar à Codesp que utilize, como regra, a modalidade pregão, preferencialmente em sua forma eletrônica, para aquisição de bens e serviços comuns, inclusive os de engenharia, </w:t>
      </w:r>
      <w:r w:rsidRPr="00590CA3">
        <w:rPr>
          <w:rFonts w:ascii="Arial" w:eastAsia="Calibri" w:hAnsi="Arial" w:cs="Arial"/>
          <w:i/>
          <w:sz w:val="24"/>
        </w:rPr>
        <w:t>“que só poderá ser preterido quando comprovada e justificadamente for inviável a sua utilização”</w:t>
      </w:r>
      <w:r w:rsidRPr="00590CA3">
        <w:rPr>
          <w:rFonts w:ascii="Arial" w:eastAsia="Calibri" w:hAnsi="Arial" w:cs="Arial"/>
          <w:sz w:val="24"/>
        </w:rPr>
        <w:t xml:space="preserve">. Deliberou também o Pleno no sentido de expedir determinação à Codesp para que se abstenha, </w:t>
      </w:r>
      <w:r w:rsidRPr="00590CA3">
        <w:rPr>
          <w:rFonts w:ascii="Arial" w:eastAsia="Calibri" w:hAnsi="Arial" w:cs="Arial"/>
          <w:i/>
          <w:sz w:val="24"/>
        </w:rPr>
        <w:t>“quando vencido o prazo de 12 meses, de prorrogar o contrato oriundo da Concorrência n.º 8/2010, salvo pelo prazo máximo de 12 meses, visando à realização de novo procedimento licitatório, na modalidade pregão, preferencialmente na forma eletrônica, caso julgue oportuno e conveniente realizar a contratação dos serviços de manutenção do sistema de distribuição de energia nas áreas comuns do porto de Santos”</w:t>
      </w:r>
      <w:r w:rsidRPr="00590CA3">
        <w:rPr>
          <w:rFonts w:ascii="Arial" w:eastAsia="Calibri" w:hAnsi="Arial" w:cs="Arial"/>
          <w:sz w:val="24"/>
        </w:rPr>
        <w:t>. Precedentes citados: Acórdãos n.</w:t>
      </w:r>
      <w:r w:rsidRPr="00590CA3">
        <w:rPr>
          <w:rFonts w:ascii="Arial" w:eastAsia="Calibri" w:hAnsi="Arial" w:cs="Arial"/>
          <w:sz w:val="24"/>
          <w:vertAlign w:val="superscript"/>
        </w:rPr>
        <w:t>os</w:t>
      </w:r>
      <w:r w:rsidRPr="00590CA3">
        <w:rPr>
          <w:rFonts w:ascii="Arial" w:eastAsia="Calibri" w:hAnsi="Arial" w:cs="Arial"/>
          <w:sz w:val="24"/>
        </w:rPr>
        <w:t xml:space="preserve"> 463/2008 e 2.901/2007, ambos da 1ª Câmara; Acórdãos n.</w:t>
      </w:r>
      <w:r w:rsidRPr="00590CA3">
        <w:rPr>
          <w:rFonts w:ascii="Arial" w:eastAsia="Calibri" w:hAnsi="Arial" w:cs="Arial"/>
          <w:sz w:val="24"/>
          <w:vertAlign w:val="superscript"/>
        </w:rPr>
        <w:t>os</w:t>
      </w:r>
      <w:r w:rsidRPr="00590CA3">
        <w:rPr>
          <w:rFonts w:ascii="Arial" w:eastAsia="Calibri" w:hAnsi="Arial" w:cs="Arial"/>
          <w:sz w:val="24"/>
        </w:rPr>
        <w:t xml:space="preserve"> 2.807/2009, 2.194/2009 e 631/2007, todos da 2ª Câmara; Acórdãos n.</w:t>
      </w:r>
      <w:r w:rsidRPr="00590CA3">
        <w:rPr>
          <w:rFonts w:ascii="Arial" w:eastAsia="Calibri" w:hAnsi="Arial" w:cs="Arial"/>
          <w:sz w:val="24"/>
          <w:vertAlign w:val="superscript"/>
        </w:rPr>
        <w:t>os</w:t>
      </w:r>
      <w:r w:rsidRPr="00590CA3">
        <w:rPr>
          <w:rFonts w:ascii="Arial" w:eastAsia="Calibri" w:hAnsi="Arial" w:cs="Arial"/>
          <w:sz w:val="24"/>
        </w:rPr>
        <w:t xml:space="preserve"> 2.664/2007 e 988/2008, ambos do Plenário. </w:t>
      </w:r>
      <w:r w:rsidRPr="00590CA3">
        <w:rPr>
          <w:rFonts w:ascii="Arial" w:eastAsia="Calibri" w:hAnsi="Arial" w:cs="Arial"/>
          <w:b/>
          <w:i/>
          <w:sz w:val="24"/>
        </w:rPr>
        <w:t>Acórdão n.º 2314/2010-Plenário, TC-016.340/2010-8, rel. Min. Raimundo Carreiro, 08.09.2010</w:t>
      </w:r>
      <w:r w:rsidRPr="00590CA3">
        <w:rPr>
          <w:rFonts w:ascii="Arial" w:eastAsia="Calibri" w:hAnsi="Arial" w:cs="Arial"/>
          <w:sz w:val="24"/>
        </w:rPr>
        <w:t>.</w:t>
      </w:r>
    </w:p>
    <w:p w:rsidR="00A050DE" w:rsidRPr="00590CA3" w:rsidRDefault="00A050DE" w:rsidP="00633EA3">
      <w:pPr>
        <w:spacing w:before="120" w:after="240" w:line="240" w:lineRule="auto"/>
        <w:jc w:val="both"/>
        <w:rPr>
          <w:rFonts w:ascii="Arial" w:eastAsia="Calibri" w:hAnsi="Arial" w:cs="Arial"/>
          <w:sz w:val="24"/>
        </w:rPr>
      </w:pPr>
    </w:p>
    <w:p w:rsidR="00A050DE" w:rsidRPr="00590CA3" w:rsidRDefault="00A050DE"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35.</w:t>
      </w:r>
    </w:p>
    <w:p w:rsidR="00A050DE" w:rsidRPr="00590CA3" w:rsidRDefault="00A050DE" w:rsidP="00633EA3">
      <w:pPr>
        <w:spacing w:before="120" w:after="240" w:line="240" w:lineRule="auto"/>
        <w:jc w:val="both"/>
        <w:rPr>
          <w:rFonts w:ascii="Arial" w:eastAsia="Calibri" w:hAnsi="Arial" w:cs="Arial"/>
          <w:b/>
          <w:sz w:val="28"/>
        </w:rPr>
      </w:pPr>
      <w:r w:rsidRPr="00590CA3">
        <w:rPr>
          <w:rFonts w:ascii="Arial" w:eastAsia="Calibri" w:hAnsi="Arial" w:cs="Arial"/>
          <w:b/>
          <w:sz w:val="28"/>
        </w:rPr>
        <w:t xml:space="preserve">Licitação do tipo “técnica e preço”: condições para a convocação da segunda colocada no certame, no caso de impossibilidade de contratação da primeira </w:t>
      </w:r>
    </w:p>
    <w:p w:rsidR="00A050DE" w:rsidRPr="00590CA3" w:rsidRDefault="00A050DE"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Por meio de levantamento de auditoria realizado nas obras de duplicação da BR-104/NE, no Estado de Pernambuco, foi constatado possível sobrepreço no Contrato UT-09-009/05, firmado entre a Superintendência Regional do Departamento Nacional de Infraestrutura de Transportes em Pernambuco (DNIT) e a empresa JBR Engenharia Ltda., com o objetivo de realizar serviços de supervisão e fiscalização das obras. O relator, ao fazer referência a acórdão </w:t>
      </w:r>
      <w:r w:rsidRPr="00590CA3">
        <w:rPr>
          <w:rFonts w:ascii="Arial" w:eastAsia="Calibri" w:hAnsi="Arial" w:cs="Arial"/>
          <w:sz w:val="24"/>
        </w:rPr>
        <w:lastRenderedPageBreak/>
        <w:t>proferido anteriormente pelo Tribunal, relativo à mesma situação, destacou que a licitação, resultante no contrato examinado, adotara como critério de julgamento a “técnica e preço”. Ao fim, disputaram efetivamente a contratação as empresas JBR Engenharia e Seplane Ltda., com preços de R$ 5.441.034,39 e R$ 5.515.725,69, respectivamente. Como as notas técnicas “</w:t>
      </w:r>
      <w:r w:rsidRPr="00590CA3">
        <w:rPr>
          <w:rFonts w:ascii="Arial" w:eastAsia="Calibri" w:hAnsi="Arial" w:cs="Arial"/>
          <w:i/>
          <w:sz w:val="24"/>
        </w:rPr>
        <w:t>diziam respeito ao histórico de atuação da empresa e à capacitação de seu corpo técnico</w:t>
      </w:r>
      <w:r w:rsidRPr="00590CA3">
        <w:rPr>
          <w:rFonts w:ascii="Arial" w:eastAsia="Calibri" w:hAnsi="Arial" w:cs="Arial"/>
          <w:sz w:val="24"/>
        </w:rPr>
        <w:t>”, a empresa Seplane sagrou-se vencedora do certame. Por ocasião da celebração do contrato, a Seplane enfrentou problemas quanto ao seu cadastro, o que levou ao chamamento da segunda colocada, a JBR Engenharia. Para o relator, “</w:t>
      </w:r>
      <w:r w:rsidRPr="00590CA3">
        <w:rPr>
          <w:rFonts w:ascii="Arial" w:eastAsia="Calibri" w:hAnsi="Arial" w:cs="Arial"/>
          <w:i/>
          <w:sz w:val="24"/>
        </w:rPr>
        <w:t>em interpretação literal do § 2º do art. 64 da Lei 8.666/93, o qual estabelece que a segunda colocada deve ser convocada nas idênticas condições da primeira desistente, contratou-se a empresa por preço superior ao que ela própria havia proposto. Isso porque o preço da segunda colocada era inferior ao da primeira</w:t>
      </w:r>
      <w:r w:rsidRPr="00590CA3">
        <w:rPr>
          <w:rFonts w:ascii="Arial" w:eastAsia="Calibri" w:hAnsi="Arial" w:cs="Arial"/>
          <w:sz w:val="24"/>
        </w:rPr>
        <w:t>”</w:t>
      </w:r>
      <w:r w:rsidRPr="00590CA3">
        <w:rPr>
          <w:rFonts w:ascii="Arial" w:eastAsia="Calibri" w:hAnsi="Arial" w:cs="Arial"/>
          <w:b/>
          <w:sz w:val="24"/>
        </w:rPr>
        <w:t xml:space="preserve">. </w:t>
      </w:r>
      <w:r w:rsidRPr="00590CA3">
        <w:rPr>
          <w:rFonts w:ascii="Arial" w:eastAsia="Calibri" w:hAnsi="Arial" w:cs="Arial"/>
          <w:sz w:val="24"/>
        </w:rPr>
        <w:t>A situação, por conseguinte, “</w:t>
      </w:r>
      <w:r w:rsidRPr="00590CA3">
        <w:rPr>
          <w:rFonts w:ascii="Arial" w:eastAsia="Calibri" w:hAnsi="Arial" w:cs="Arial"/>
          <w:i/>
          <w:sz w:val="24"/>
        </w:rPr>
        <w:t>desvirtuou a finalidade do dispositivo legal, qual seja, preservar as melhores condições obtidas com a primeira colocada, pois se majorou o preço da proposta da segunda colocada sem que houvesse melhora na sua parte técnica</w:t>
      </w:r>
      <w:r w:rsidRPr="00590CA3">
        <w:rPr>
          <w:rFonts w:ascii="Arial" w:eastAsia="Calibri" w:hAnsi="Arial" w:cs="Arial"/>
          <w:sz w:val="24"/>
        </w:rPr>
        <w:t>”. Nas palavras do relator, “</w:t>
      </w:r>
      <w:r w:rsidRPr="00590CA3">
        <w:rPr>
          <w:rFonts w:ascii="Arial" w:eastAsia="Calibri" w:hAnsi="Arial" w:cs="Arial"/>
          <w:i/>
          <w:sz w:val="24"/>
        </w:rPr>
        <w:t>acatou-se o pior das duas propostas - o preço superior da primeira e a proposta técnica inferior da segunda</w:t>
      </w:r>
      <w:r w:rsidRPr="00590CA3">
        <w:rPr>
          <w:rFonts w:ascii="Arial" w:eastAsia="Calibri" w:hAnsi="Arial" w:cs="Arial"/>
          <w:sz w:val="24"/>
        </w:rPr>
        <w:t>”. Assim, “</w:t>
      </w:r>
      <w:r w:rsidRPr="00590CA3">
        <w:rPr>
          <w:rFonts w:ascii="Arial" w:eastAsia="Calibri" w:hAnsi="Arial" w:cs="Arial"/>
          <w:i/>
          <w:sz w:val="24"/>
        </w:rPr>
        <w:t>considerando a impossibilidade de a segunda colocada reproduzir as condições técnicas da vencedora do certame, o mínimo que se poderia esperar é que os preços praticados fossem os menores ofertados, de forma a ser respeitada a finalidade do § 2º do art. 64 da Lei 8.666/93 e serem atendidos os princípios da economicidade e razoabilidade. Ou seja, no caso concreto, a empresa deveria ter sido contratada pelo preço de R$ 5.441.034,39, e não pelo preço de R$ 5.515.725,69</w:t>
      </w:r>
      <w:r w:rsidRPr="00590CA3">
        <w:rPr>
          <w:rFonts w:ascii="Arial" w:eastAsia="Calibri" w:hAnsi="Arial" w:cs="Arial"/>
          <w:sz w:val="24"/>
        </w:rPr>
        <w:t>”. Noutras palavras, “</w:t>
      </w:r>
      <w:r w:rsidRPr="00590CA3">
        <w:rPr>
          <w:rFonts w:ascii="Arial" w:eastAsia="Calibri" w:hAnsi="Arial" w:cs="Arial"/>
          <w:i/>
          <w:sz w:val="24"/>
        </w:rPr>
        <w:t>restou devidamente caracterizado que o valor da contratação foi indevido</w:t>
      </w:r>
      <w:r w:rsidRPr="00590CA3">
        <w:rPr>
          <w:rFonts w:ascii="Arial" w:eastAsia="Calibri" w:hAnsi="Arial" w:cs="Arial"/>
          <w:sz w:val="24"/>
        </w:rPr>
        <w:t xml:space="preserve">”. O relator, então, votou por se determinar ao DNIT que adotasse medidas com vistas ao ressarcimento ao erário, por parte da contratada, dos valores pagos a maior, no que obteve a anuência do Plenário. Precedente citado: Acórdão n.º 2723/2009-Plenário. </w:t>
      </w:r>
      <w:r w:rsidRPr="00590CA3">
        <w:rPr>
          <w:rFonts w:ascii="Arial" w:eastAsia="Calibri" w:hAnsi="Arial" w:cs="Arial"/>
          <w:b/>
          <w:i/>
          <w:sz w:val="24"/>
        </w:rPr>
        <w:t>Acórdão n.º 2512/2010-Plenário, TC-015.150/2009-8, rel. Min. Benjamin Zymler, 21.09.2010</w:t>
      </w:r>
      <w:r w:rsidRPr="00590CA3">
        <w:rPr>
          <w:rFonts w:ascii="Arial" w:eastAsia="Calibri" w:hAnsi="Arial" w:cs="Arial"/>
          <w:sz w:val="24"/>
        </w:rPr>
        <w:t>.</w:t>
      </w:r>
    </w:p>
    <w:p w:rsidR="00A050DE" w:rsidRPr="00590CA3" w:rsidRDefault="00A050DE" w:rsidP="00633EA3">
      <w:pPr>
        <w:spacing w:before="120" w:after="240" w:line="240" w:lineRule="auto"/>
        <w:jc w:val="both"/>
        <w:rPr>
          <w:rFonts w:ascii="Arial" w:eastAsia="Calibri" w:hAnsi="Arial" w:cs="Arial"/>
          <w:b/>
          <w:sz w:val="24"/>
        </w:rPr>
      </w:pPr>
    </w:p>
    <w:p w:rsidR="00A050DE" w:rsidRPr="00590CA3" w:rsidRDefault="00A050DE" w:rsidP="00633EA3">
      <w:pPr>
        <w:spacing w:before="120" w:after="240" w:line="240" w:lineRule="auto"/>
        <w:jc w:val="both"/>
        <w:rPr>
          <w:rFonts w:ascii="Arial" w:eastAsia="Calibri" w:hAnsi="Arial" w:cs="Arial"/>
          <w:b/>
          <w:sz w:val="28"/>
        </w:rPr>
      </w:pPr>
      <w:r w:rsidRPr="00590CA3">
        <w:rPr>
          <w:rFonts w:ascii="Arial" w:eastAsia="Calibri" w:hAnsi="Arial" w:cs="Arial"/>
          <w:b/>
          <w:sz w:val="28"/>
        </w:rPr>
        <w:lastRenderedPageBreak/>
        <w:t>Contratação de serviços: necessidade de correspondência entre os salários informados na planilha de preços da contratada e os efetivamente pagos por ela aos seus empregados</w:t>
      </w:r>
    </w:p>
    <w:p w:rsidR="00A050DE" w:rsidRPr="00590CA3" w:rsidRDefault="00A050DE" w:rsidP="001522A7">
      <w:pPr>
        <w:spacing w:before="120" w:after="240" w:line="360" w:lineRule="auto"/>
        <w:jc w:val="both"/>
        <w:rPr>
          <w:rFonts w:ascii="Arial" w:eastAsia="Calibri" w:hAnsi="Arial" w:cs="Arial"/>
          <w:sz w:val="24"/>
        </w:rPr>
      </w:pPr>
      <w:r w:rsidRPr="00590CA3">
        <w:rPr>
          <w:rFonts w:ascii="Arial" w:eastAsia="Calibri" w:hAnsi="Arial" w:cs="Arial"/>
          <w:sz w:val="24"/>
        </w:rPr>
        <w:t>Levantamento de auditoria realizado nas obras de construção de trechos rodoviários na BR-156, no Estado do Amapá, a cargo do Governo do Estado, representado por sua Secretaria de Transportes – SETRAP, em razão de convênio firmado com o Departamento Nacional de Infra-Estrutura de Transportes (DNIT), identificou que os salários informados na planilha de preços da empresa SD – Consultoria e Engenharia Ltda., contratada para fiscalizar as obras em questão, seriam bem superiores aos efetivamente pagos pela empresa aos seus empregados. Ouvido em audiência, um dos responsáveis alegou que, como se tratava de “</w:t>
      </w:r>
      <w:r w:rsidRPr="00590CA3">
        <w:rPr>
          <w:rFonts w:ascii="Arial" w:eastAsia="Calibri" w:hAnsi="Arial" w:cs="Arial"/>
          <w:i/>
          <w:sz w:val="24"/>
        </w:rPr>
        <w:t>consultoria</w:t>
      </w:r>
      <w:r w:rsidRPr="00590CA3">
        <w:rPr>
          <w:rFonts w:ascii="Arial" w:eastAsia="Calibri" w:hAnsi="Arial" w:cs="Arial"/>
          <w:sz w:val="24"/>
        </w:rPr>
        <w:t xml:space="preserve"> </w:t>
      </w:r>
      <w:r w:rsidRPr="00590CA3">
        <w:rPr>
          <w:rFonts w:ascii="Arial" w:eastAsia="Calibri" w:hAnsi="Arial" w:cs="Arial"/>
          <w:i/>
          <w:sz w:val="24"/>
        </w:rPr>
        <w:t>para execução de serviços de supervisão e acompanhamento das obras de construção e pavimentação da Rodovia BR-156/AP”</w:t>
      </w:r>
      <w:r w:rsidRPr="00590CA3">
        <w:rPr>
          <w:rFonts w:ascii="Arial" w:eastAsia="Calibri" w:hAnsi="Arial" w:cs="Arial"/>
          <w:sz w:val="24"/>
        </w:rPr>
        <w:t>, e não locação de mão de obra, o pagamento deveria ser executado a partir da “</w:t>
      </w:r>
      <w:r w:rsidRPr="00590CA3">
        <w:rPr>
          <w:rFonts w:ascii="Arial" w:eastAsia="Calibri" w:hAnsi="Arial" w:cs="Arial"/>
          <w:i/>
          <w:sz w:val="24"/>
        </w:rPr>
        <w:t>execução do serviço contratado e não tendo como base o salário pago aos seus empregados</w:t>
      </w:r>
      <w:r w:rsidRPr="00590CA3">
        <w:rPr>
          <w:rFonts w:ascii="Arial" w:eastAsia="Calibri" w:hAnsi="Arial" w:cs="Arial"/>
          <w:sz w:val="24"/>
        </w:rPr>
        <w:t>”. Por conseguinte, para o aludido responsável, o fato de “</w:t>
      </w:r>
      <w:r w:rsidRPr="00590CA3">
        <w:rPr>
          <w:rFonts w:ascii="Arial" w:eastAsia="Calibri" w:hAnsi="Arial" w:cs="Arial"/>
          <w:i/>
          <w:sz w:val="24"/>
        </w:rPr>
        <w:t>a empresa contratada conseguir profissionais no mercado de trabalho com salário inferior à média é matéria que escapa à competência desta Secretaria de Estado de Transportes/SETRAP, bem como se, ao contrário disso, só conseguir com salário superior. Ou seja, os salários informados pelos licitantes quando da formação dos custos referenciais são exatamente isso, referenciais</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A unidade técnica, ao analisar as justificativas apresentadas, destacou que o “</w:t>
      </w:r>
      <w:r w:rsidRPr="00590CA3">
        <w:rPr>
          <w:rFonts w:ascii="Arial" w:eastAsia="Calibri" w:hAnsi="Arial" w:cs="Arial"/>
          <w:i/>
          <w:sz w:val="24"/>
        </w:rPr>
        <w:t>serviço se baseia, quase que em sua totalidade, em pagamentos de funcionários, cada qual especializado em uma das técnicas necessárias ao serviço</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e que “</w:t>
      </w:r>
      <w:r w:rsidRPr="00590CA3">
        <w:rPr>
          <w:rFonts w:ascii="Arial" w:eastAsia="Calibri" w:hAnsi="Arial" w:cs="Arial"/>
          <w:i/>
          <w:iCs/>
          <w:sz w:val="24"/>
        </w:rPr>
        <w:t>a</w:t>
      </w:r>
      <w:r w:rsidRPr="00590CA3">
        <w:rPr>
          <w:rFonts w:ascii="Arial" w:eastAsia="Calibri" w:hAnsi="Arial" w:cs="Arial"/>
          <w:i/>
          <w:sz w:val="24"/>
        </w:rPr>
        <w:t xml:space="preserve"> garantia ao equilíbrio econômico-financeiro deve operar em ambos os sentidos: tanto em favor do particular, como em favor da Administração</w:t>
      </w:r>
      <w:r w:rsidRPr="00590CA3">
        <w:rPr>
          <w:rFonts w:ascii="Arial" w:eastAsia="Calibri" w:hAnsi="Arial" w:cs="Arial"/>
          <w:sz w:val="24"/>
        </w:rPr>
        <w:t>”, estando tal equilíbrio, na espécie, “</w:t>
      </w:r>
      <w:r w:rsidRPr="00590CA3">
        <w:rPr>
          <w:rFonts w:ascii="Arial" w:eastAsia="Calibri" w:hAnsi="Arial" w:cs="Arial"/>
          <w:i/>
          <w:sz w:val="24"/>
        </w:rPr>
        <w:t>direcionado a salvaguardar o direito de a Administração manter o mesmo padrão de despesa em relação à efetiva prestação do contratado</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O relator, ao concordar com a unidade instrutiva, destacou a discrepância entre os valores dos “</w:t>
      </w:r>
      <w:r w:rsidRPr="00590CA3">
        <w:rPr>
          <w:rFonts w:ascii="Arial" w:eastAsia="Calibri" w:hAnsi="Arial" w:cs="Arial"/>
          <w:i/>
          <w:sz w:val="24"/>
        </w:rPr>
        <w:t xml:space="preserve">salários faturados nas medições e os efetivamente pagos aos empregados da contratada, segundo declarado nas Relações Anuais de Informações Sociais (RAIS), e que também serviram de </w:t>
      </w:r>
      <w:r w:rsidRPr="00590CA3">
        <w:rPr>
          <w:rFonts w:ascii="Arial" w:eastAsia="Calibri" w:hAnsi="Arial" w:cs="Arial"/>
          <w:i/>
          <w:sz w:val="24"/>
        </w:rPr>
        <w:lastRenderedPageBreak/>
        <w:t>base para o recolhimento de tributos federais</w:t>
      </w:r>
      <w:r w:rsidRPr="00590CA3">
        <w:rPr>
          <w:rFonts w:ascii="Arial" w:eastAsia="Calibri" w:hAnsi="Arial" w:cs="Arial"/>
          <w:sz w:val="24"/>
        </w:rPr>
        <w:t>”. Para o relator, “</w:t>
      </w:r>
      <w:r w:rsidRPr="00590CA3">
        <w:rPr>
          <w:rFonts w:ascii="Arial" w:eastAsia="Calibri" w:hAnsi="Arial" w:cs="Arial"/>
          <w:i/>
          <w:sz w:val="24"/>
        </w:rPr>
        <w:t>a contratada cobrou da administração valores, a título de mão de obra, muito acima do que efetivamente pagou a seus empregados</w:t>
      </w:r>
      <w:r w:rsidRPr="00590CA3">
        <w:rPr>
          <w:rFonts w:ascii="Arial" w:eastAsia="Calibri" w:hAnsi="Arial" w:cs="Arial"/>
          <w:sz w:val="24"/>
        </w:rPr>
        <w:t>”, situação que, “</w:t>
      </w:r>
      <w:r w:rsidRPr="00590CA3">
        <w:rPr>
          <w:rFonts w:ascii="Arial" w:eastAsia="Calibri" w:hAnsi="Arial" w:cs="Arial"/>
          <w:i/>
          <w:sz w:val="24"/>
        </w:rPr>
        <w:t>sem dúvida, caracteriza enriquecimento da empresa, sem justa causa, em decorrência do lucro obtido em patamares excessivamente além do previsto na planilha orçamentária que serviu de base à licitação e ao contrato</w:t>
      </w:r>
      <w:r w:rsidRPr="00590CA3">
        <w:rPr>
          <w:rFonts w:ascii="Arial" w:eastAsia="Calibri" w:hAnsi="Arial" w:cs="Arial"/>
          <w:sz w:val="24"/>
        </w:rPr>
        <w:t>”. Desse modo, conforme o voto do relator, a unidade técnica teria razão ao “</w:t>
      </w:r>
      <w:r w:rsidRPr="00590CA3">
        <w:rPr>
          <w:rFonts w:ascii="Arial" w:eastAsia="Calibri" w:hAnsi="Arial" w:cs="Arial"/>
          <w:i/>
          <w:sz w:val="24"/>
        </w:rPr>
        <w:t>propor a rejeição das razões de justificativa dos responsáveis, pois a alegação comum de que o pagamento de salários é um risco exclusivo da contratada não é verdadeira, pois restou comprovado prejuízo ao erário</w:t>
      </w:r>
      <w:r w:rsidRPr="00590CA3">
        <w:rPr>
          <w:rFonts w:ascii="Arial" w:eastAsia="Calibri" w:hAnsi="Arial" w:cs="Arial"/>
          <w:sz w:val="24"/>
        </w:rPr>
        <w:t>”, cabendo, por conseqüência, a recomposição da equação econômico-financeira correspondente ao contrato. Considerou, ainda, que, caso a situação fosse reversa, ou seja, se a Administração estivesse pagando à contratada valores bem inferiores aos custos efetivamente incorridos por ela</w:t>
      </w:r>
      <w:r w:rsidRPr="00590CA3">
        <w:rPr>
          <w:rFonts w:ascii="Arial" w:eastAsia="Calibri" w:hAnsi="Arial" w:cs="Arial"/>
          <w:i/>
          <w:sz w:val="24"/>
        </w:rPr>
        <w:t>, “a interessada há muito teria provocado a administração para a revisão das condições contratuais</w:t>
      </w:r>
      <w:r w:rsidRPr="00590CA3">
        <w:rPr>
          <w:rFonts w:ascii="Arial" w:eastAsia="Calibri" w:hAnsi="Arial" w:cs="Arial"/>
          <w:sz w:val="24"/>
        </w:rPr>
        <w:t>”. Desse modo, ao rejeitar as justificativas apresentadas pelos responsáveis, o relator votou por uma série de determinações corretivas à SETRAP, para contratações futuras, bem como, no presente caso, por que lhe fosse determinado adotar as medidas necessárias com vistas ao ressarcimento aos cofres públicos dos prejuízos decorrentes dos salários pagos a maior à contratada, quando comparados aos efetivamente entregues por esta aos seus empregados. O Plenário acolheu o voto do relator. Precedentes citados: Acórdãos nºs 1.014/2007, 1.233/2007 e 2.632/2007, todos do Plenário.</w:t>
      </w:r>
      <w:r w:rsidRPr="00590CA3">
        <w:rPr>
          <w:rFonts w:ascii="Arial" w:eastAsia="Calibri" w:hAnsi="Arial" w:cs="Arial"/>
          <w:b/>
          <w:i/>
          <w:sz w:val="24"/>
        </w:rPr>
        <w:t xml:space="preserve"> Acórdão n.º 2477/2010-Plenário, TC-006.144/2009-1, rel. Min. Augusto Nardes, 21.09.2010</w:t>
      </w:r>
      <w:r w:rsidRPr="00590CA3">
        <w:rPr>
          <w:rFonts w:ascii="Arial" w:eastAsia="Calibri" w:hAnsi="Arial" w:cs="Arial"/>
          <w:sz w:val="24"/>
        </w:rPr>
        <w:t>.</w:t>
      </w:r>
    </w:p>
    <w:p w:rsidR="00A050DE" w:rsidRPr="00590CA3" w:rsidRDefault="00A050DE" w:rsidP="00633EA3">
      <w:pPr>
        <w:spacing w:before="120" w:after="240" w:line="240" w:lineRule="auto"/>
        <w:jc w:val="both"/>
        <w:rPr>
          <w:rFonts w:ascii="Arial" w:eastAsia="Calibri" w:hAnsi="Arial" w:cs="Arial"/>
          <w:sz w:val="24"/>
        </w:rPr>
      </w:pPr>
    </w:p>
    <w:p w:rsidR="00A050DE" w:rsidRPr="00590CA3" w:rsidRDefault="00A050DE"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36.</w:t>
      </w:r>
    </w:p>
    <w:p w:rsidR="00A050DE" w:rsidRPr="00590CA3" w:rsidRDefault="00A050DE" w:rsidP="00633EA3">
      <w:pPr>
        <w:spacing w:before="120" w:after="240" w:line="240" w:lineRule="auto"/>
        <w:jc w:val="both"/>
        <w:rPr>
          <w:rFonts w:ascii="Arial" w:eastAsia="Calibri" w:hAnsi="Arial" w:cs="Arial"/>
          <w:b/>
          <w:sz w:val="28"/>
        </w:rPr>
      </w:pPr>
      <w:r w:rsidRPr="00590CA3">
        <w:rPr>
          <w:rFonts w:ascii="Arial" w:eastAsia="Calibri" w:hAnsi="Arial" w:cs="Arial"/>
          <w:b/>
          <w:sz w:val="28"/>
        </w:rPr>
        <w:t>Majoração linear, a título de reequilíbrio econômico-financeiro, dos preços inicialmente pactuados, como consequência da subavaliação dos preços constantes do orçamento elaborado pela Administração e adotado como referência para a proposta da contratada</w:t>
      </w:r>
    </w:p>
    <w:p w:rsidR="00A050DE" w:rsidRPr="00590CA3" w:rsidRDefault="00A050DE" w:rsidP="001522A7">
      <w:pPr>
        <w:spacing w:before="120" w:after="240" w:line="360" w:lineRule="auto"/>
        <w:jc w:val="both"/>
        <w:rPr>
          <w:rFonts w:ascii="Arial" w:eastAsia="Calibri" w:hAnsi="Arial" w:cs="Arial"/>
          <w:sz w:val="24"/>
        </w:rPr>
      </w:pPr>
      <w:r w:rsidRPr="00590CA3">
        <w:rPr>
          <w:rFonts w:ascii="Arial" w:eastAsia="Calibri" w:hAnsi="Arial" w:cs="Arial"/>
          <w:sz w:val="24"/>
        </w:rPr>
        <w:lastRenderedPageBreak/>
        <w:t xml:space="preserve">No âmbito da auditoria realizada com vistas a fiscalizar a aplicação de recursos federais repassados pelo Fundo Nacional de Desenvolvimento da Educação (FNDE) à Prefeitura Municipal de Matão/SP, objetivando a construção de uma escola de educação infantil na referida municipalidade, foi promovida a oitiva do Prefeito e do Assessor Jurídico da Prefeitura, bem como da empresa contratada, em razão de ocorrências verificadas na execução contratual, entre elas a </w:t>
      </w:r>
      <w:r w:rsidRPr="00590CA3">
        <w:rPr>
          <w:rFonts w:ascii="Arial" w:eastAsia="Calibri" w:hAnsi="Arial" w:cs="Arial"/>
          <w:i/>
          <w:sz w:val="24"/>
        </w:rPr>
        <w:t>“revisão de cláusulas financeiras com justificativa irregular de reequilíbrio econômico-financeiro, por meio do 4º Termo Aditivo ao contrato”</w:t>
      </w:r>
      <w:r w:rsidRPr="00590CA3">
        <w:rPr>
          <w:rFonts w:ascii="Arial" w:eastAsia="Calibri" w:hAnsi="Arial" w:cs="Arial"/>
          <w:sz w:val="24"/>
        </w:rPr>
        <w:t xml:space="preserve">. Tendo em vista que </w:t>
      </w:r>
      <w:r w:rsidRPr="00590CA3">
        <w:rPr>
          <w:rFonts w:ascii="Arial" w:eastAsia="Calibri" w:hAnsi="Arial" w:cs="Arial"/>
          <w:i/>
          <w:sz w:val="24"/>
        </w:rPr>
        <w:t>“os preços relativos à presente contratação quedaram-se aquém daqueles praticados no mercado”</w:t>
      </w:r>
      <w:r w:rsidRPr="00590CA3">
        <w:rPr>
          <w:rFonts w:ascii="Arial" w:eastAsia="Calibri" w:hAnsi="Arial" w:cs="Arial"/>
          <w:sz w:val="24"/>
        </w:rPr>
        <w:t xml:space="preserve">, houve a majoração linear, a título de reequilíbrio econômico-financeiro, dos preços inicialmente pactuados. Em seu voto, o relator observou que a matéria é regida pela alínea ‘d’ do inciso II do art. 65 da Lei n.º 8.666/93, tratando-se de hipótese em que se busca o reestabelecimento da relação contratual inicialmente ajustada pelas partes, a qual teria sofrido alteração por álea extraordinária superveniente ao originalmente contratado. No caso concreto, os responsáveis, </w:t>
      </w:r>
      <w:r w:rsidRPr="00590CA3">
        <w:rPr>
          <w:rFonts w:ascii="Arial" w:eastAsia="Calibri" w:hAnsi="Arial" w:cs="Arial"/>
          <w:i/>
          <w:sz w:val="24"/>
        </w:rPr>
        <w:t>“além de não apontarem nenhum fato superveniente à celebração do contrato, expressamente afirmam que o suposto problema decorreu de subavaliação dos preços constantes do orçamento efetuado pela Prefeitura e adotado como referência para a proposta da empresa. Assim, aparentemente a empresa foi beneficiada pelo fato dela, no entender dos gestores, haver apresentado uma proposta desconectada dos preços de mercado</w:t>
      </w:r>
      <w:r w:rsidRPr="00590CA3">
        <w:rPr>
          <w:rFonts w:ascii="Arial" w:eastAsia="Calibri" w:hAnsi="Arial" w:cs="Arial"/>
          <w:sz w:val="24"/>
        </w:rPr>
        <w:t>.</w:t>
      </w:r>
      <w:r w:rsidRPr="00590CA3">
        <w:rPr>
          <w:rFonts w:ascii="Arial" w:eastAsia="Calibri" w:hAnsi="Arial" w:cs="Arial"/>
          <w:i/>
          <w:sz w:val="24"/>
        </w:rPr>
        <w:t>”</w:t>
      </w:r>
      <w:r w:rsidRPr="00590CA3">
        <w:rPr>
          <w:rFonts w:ascii="Arial" w:eastAsia="Calibri" w:hAnsi="Arial" w:cs="Arial"/>
          <w:sz w:val="24"/>
        </w:rPr>
        <w:t xml:space="preserve">. O relator concluiu não haver amparo legal para procedimentos da espécie, </w:t>
      </w:r>
      <w:r w:rsidRPr="00590CA3">
        <w:rPr>
          <w:rFonts w:ascii="Arial" w:eastAsia="Calibri" w:hAnsi="Arial" w:cs="Arial"/>
          <w:i/>
          <w:sz w:val="24"/>
        </w:rPr>
        <w:t>“mesmo que, apenas por argumentar, estivesse demonstrada a inadequação da proposta aos preços de mercado”</w:t>
      </w:r>
      <w:r w:rsidRPr="00590CA3">
        <w:rPr>
          <w:rFonts w:ascii="Arial" w:eastAsia="Calibri" w:hAnsi="Arial" w:cs="Arial"/>
          <w:sz w:val="24"/>
        </w:rPr>
        <w:t xml:space="preserve">. Segundo o relator, em havendo erro em determinada proposta de empresa licitante, deve ela responder por isso, rescindindo eventual contrato, por exemplo, e arcando com as consequências daí decorrentes. Para ele, não importa </w:t>
      </w:r>
      <w:r w:rsidRPr="00590CA3">
        <w:rPr>
          <w:rFonts w:ascii="Arial" w:eastAsia="Calibri" w:hAnsi="Arial" w:cs="Arial"/>
          <w:i/>
          <w:sz w:val="24"/>
        </w:rPr>
        <w:t>“que o orçamento base esteja equivocado, pois as licitantes devem elaborar as propostas de acordo com o seu conhecimento do mercado e não de acordo com o conhecimento da Administração”</w:t>
      </w:r>
      <w:r w:rsidRPr="00590CA3">
        <w:rPr>
          <w:rFonts w:ascii="Arial" w:eastAsia="Calibri" w:hAnsi="Arial" w:cs="Arial"/>
          <w:sz w:val="24"/>
        </w:rPr>
        <w:t xml:space="preserve">. Ademais, tal espécie de alteração contratual acabaria por descaracterizar o processo licitatório, pois afetaria o princípio da isonomia, </w:t>
      </w:r>
      <w:r w:rsidRPr="00590CA3">
        <w:rPr>
          <w:rFonts w:ascii="Arial" w:eastAsia="Calibri" w:hAnsi="Arial" w:cs="Arial"/>
          <w:i/>
          <w:sz w:val="24"/>
        </w:rPr>
        <w:t>“ao se propiciar uma vantagem à contratada que não era de conhecimento dos demais potenciais licitantes”</w:t>
      </w:r>
      <w:r w:rsidRPr="00590CA3">
        <w:rPr>
          <w:rFonts w:ascii="Arial" w:eastAsia="Calibri" w:hAnsi="Arial" w:cs="Arial"/>
          <w:sz w:val="24"/>
        </w:rPr>
        <w:t xml:space="preserve">. Considerando, no entanto, que não foram aplicados recursos federais no aditivo mencionado, </w:t>
      </w:r>
      <w:r w:rsidRPr="00590CA3">
        <w:rPr>
          <w:rFonts w:ascii="Arial" w:eastAsia="Calibri" w:hAnsi="Arial" w:cs="Arial"/>
          <w:sz w:val="24"/>
        </w:rPr>
        <w:lastRenderedPageBreak/>
        <w:t xml:space="preserve">o relator concluiu que o TCU não possui jurisdição sobre os atos de gestão relacionados a esse termo aditivo. Acolhendo o voto do relator, a Segunda Câmara deliberou no sentido de </w:t>
      </w:r>
      <w:r w:rsidRPr="00590CA3">
        <w:rPr>
          <w:rFonts w:ascii="Arial" w:eastAsia="Calibri" w:hAnsi="Arial" w:cs="Arial"/>
          <w:i/>
          <w:sz w:val="24"/>
        </w:rPr>
        <w:t>“determinar à Prefeitura Municipal de Matão/SP que se abstenha de utilizar recursos de origem federal para promover pagamentos com base no 4º Termo Aditivo ao contrato celebrado entre essa municipalidade e a Construtora Cusinato Ltda.”</w:t>
      </w:r>
      <w:r w:rsidRPr="00590CA3">
        <w:rPr>
          <w:rFonts w:ascii="Arial" w:eastAsia="Calibri" w:hAnsi="Arial" w:cs="Arial"/>
          <w:sz w:val="24"/>
        </w:rPr>
        <w:t xml:space="preserve">, bem como </w:t>
      </w:r>
      <w:r w:rsidRPr="00590CA3">
        <w:rPr>
          <w:rFonts w:ascii="Arial" w:eastAsia="Calibri" w:hAnsi="Arial" w:cs="Arial"/>
          <w:i/>
          <w:sz w:val="24"/>
        </w:rPr>
        <w:t>“encaminhar cópia deste Acórdão, acompanhado do Relatório e Voto que o fundamentam, ao Tribunal de Contas do Estado de São Paulo e ao Ministério Público do Estado de São Paulo”</w:t>
      </w:r>
      <w:r w:rsidRPr="00590CA3">
        <w:rPr>
          <w:rFonts w:ascii="Arial" w:eastAsia="Calibri" w:hAnsi="Arial" w:cs="Arial"/>
          <w:sz w:val="24"/>
        </w:rPr>
        <w:t xml:space="preserve">. </w:t>
      </w:r>
      <w:r w:rsidRPr="00590CA3">
        <w:rPr>
          <w:rFonts w:ascii="Arial" w:eastAsia="Calibri" w:hAnsi="Arial" w:cs="Arial"/>
          <w:b/>
          <w:i/>
          <w:sz w:val="24"/>
        </w:rPr>
        <w:t>Acórdão n.º 5686/2010-2ª Câmara, TC-018.026/2010-9, rel. Min. Benjamin Zymler, 28.09.2010</w:t>
      </w:r>
      <w:r w:rsidRPr="00590CA3">
        <w:rPr>
          <w:rFonts w:ascii="Arial" w:eastAsia="Calibri" w:hAnsi="Arial" w:cs="Arial"/>
          <w:sz w:val="24"/>
        </w:rPr>
        <w:t>.</w:t>
      </w:r>
    </w:p>
    <w:p w:rsidR="00A050DE" w:rsidRPr="00590CA3" w:rsidRDefault="00A050DE" w:rsidP="00633EA3">
      <w:pPr>
        <w:spacing w:before="120" w:after="240" w:line="240" w:lineRule="auto"/>
        <w:jc w:val="both"/>
        <w:rPr>
          <w:rFonts w:ascii="Arial" w:eastAsia="Calibri" w:hAnsi="Arial" w:cs="Arial"/>
          <w:sz w:val="24"/>
        </w:rPr>
      </w:pPr>
    </w:p>
    <w:p w:rsidR="00A050DE" w:rsidRPr="00590CA3" w:rsidRDefault="00A050DE" w:rsidP="00633EA3">
      <w:pPr>
        <w:spacing w:before="120" w:after="240" w:line="240" w:lineRule="auto"/>
        <w:jc w:val="both"/>
        <w:rPr>
          <w:rFonts w:ascii="Arial" w:eastAsia="Calibri" w:hAnsi="Arial" w:cs="Arial"/>
          <w:b/>
          <w:sz w:val="28"/>
        </w:rPr>
      </w:pPr>
      <w:r w:rsidRPr="00590CA3">
        <w:rPr>
          <w:rFonts w:ascii="Arial" w:eastAsia="Calibri" w:hAnsi="Arial" w:cs="Arial"/>
          <w:b/>
          <w:sz w:val="28"/>
        </w:rPr>
        <w:t>Justificativa para prosseguimento de certame na modalidade de convite sem o quórum mínimo de licitantes</w:t>
      </w:r>
    </w:p>
    <w:p w:rsidR="00A050DE" w:rsidRPr="00590CA3" w:rsidRDefault="00A050DE"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Ao examinar a prestação de contas do Centro Federal de Educação Tecnológica de Sergipe (Cefet/SE) relativa ao exercício de 2007, a unidade técnica identificou possíveis irregularidades, entre elas a </w:t>
      </w:r>
      <w:r w:rsidRPr="00590CA3">
        <w:rPr>
          <w:rFonts w:ascii="Arial" w:eastAsia="Calibri" w:hAnsi="Arial" w:cs="Arial"/>
          <w:i/>
          <w:sz w:val="24"/>
        </w:rPr>
        <w:t>“realização de Convite sem o número mínimo de três propostas válidas”</w:t>
      </w:r>
      <w:r w:rsidRPr="00590CA3">
        <w:rPr>
          <w:rFonts w:ascii="Arial" w:eastAsia="Calibri" w:hAnsi="Arial" w:cs="Arial"/>
          <w:sz w:val="24"/>
        </w:rPr>
        <w:t xml:space="preserve">. De acordo com a unidade instrutiva, </w:t>
      </w:r>
      <w:r w:rsidRPr="00590CA3">
        <w:rPr>
          <w:rFonts w:ascii="Arial" w:eastAsia="Calibri" w:hAnsi="Arial" w:cs="Arial"/>
          <w:i/>
          <w:sz w:val="24"/>
        </w:rPr>
        <w:t>“a falha ocorreu por limitações do mercado e manifesto desinteresse dos convidados, o que deveria ter sido, a princípio, cabalmente justificado no processo licitatório, sob pena de repetição do convite, consoante disposto no § 7º do artigo 22 do Estatuto das Licitações e Contratos. Em suas justificativas, o gestor esclareceu que não limitou sua pesquisa de mercado, tendo convidado treze empresas do ramo, apesar do comparecimento de apenas duas para apresentação de propostas. Acrescentou que o fato da CPL ter prosseguido o certame com apenas uma proposta válida ocorreu porque havia uma representação do Ministério Público Federal cobrando providências em relação à revisão dos telhados, e, repetir a carta-convite, retardaria a execução do objeto e comprometeria a segurança da Instituição. Em seguida, verificou que o preço estava condizente com o de mercado e haviam sido atendidas as condições de habilitação e exigências editalícias antes de adjudicar a única proposta válida, o que minimiza a gravidade da constatação e permite que o indício de irregularidade seja considerado como falha na gestão.”</w:t>
      </w:r>
      <w:r w:rsidRPr="00590CA3">
        <w:rPr>
          <w:rFonts w:ascii="Arial" w:eastAsia="Calibri" w:hAnsi="Arial" w:cs="Arial"/>
          <w:sz w:val="24"/>
        </w:rPr>
        <w:t xml:space="preserve">. Ao dissentir da unidade técnica, o relator destacou que foram inicialmente convidadas treze </w:t>
      </w:r>
      <w:r w:rsidRPr="00590CA3">
        <w:rPr>
          <w:rFonts w:ascii="Arial" w:eastAsia="Calibri" w:hAnsi="Arial" w:cs="Arial"/>
          <w:sz w:val="24"/>
        </w:rPr>
        <w:lastRenderedPageBreak/>
        <w:t xml:space="preserve">empresas, tendo comparecido apenas duas. Em razão disso, designou-se nova data para abertura das propostas, convocando-se mais onze empresas, além das treze inicialmente convidadas. Ainda assim, não foram obtidas três propostas válidas. Nesse contexto, </w:t>
      </w:r>
      <w:r w:rsidRPr="00590CA3">
        <w:rPr>
          <w:rFonts w:ascii="Arial" w:eastAsia="Calibri" w:hAnsi="Arial" w:cs="Arial"/>
          <w:i/>
          <w:sz w:val="24"/>
        </w:rPr>
        <w:t>“mostra-se razoavelmente justificado o prosseguimento da licitação”</w:t>
      </w:r>
      <w:r w:rsidRPr="00590CA3">
        <w:rPr>
          <w:rFonts w:ascii="Arial" w:eastAsia="Calibri" w:hAnsi="Arial" w:cs="Arial"/>
          <w:sz w:val="24"/>
        </w:rPr>
        <w:t xml:space="preserve">, entendimento que contou com a anuência do Colegiado. </w:t>
      </w:r>
      <w:r w:rsidRPr="00590CA3">
        <w:rPr>
          <w:rFonts w:ascii="Arial" w:eastAsia="Calibri" w:hAnsi="Arial" w:cs="Arial"/>
          <w:b/>
          <w:i/>
          <w:sz w:val="24"/>
        </w:rPr>
        <w:t>Acórdão n.º 5670/2010-2ª Câmara, TC-018.007/2008-7, rel. Min. José Jorge, 28.09.2010</w:t>
      </w:r>
      <w:r w:rsidRPr="00590CA3">
        <w:rPr>
          <w:rFonts w:ascii="Arial" w:eastAsia="Calibri" w:hAnsi="Arial" w:cs="Arial"/>
          <w:sz w:val="24"/>
        </w:rPr>
        <w:t>.</w:t>
      </w:r>
    </w:p>
    <w:p w:rsidR="00A050DE" w:rsidRPr="00590CA3" w:rsidRDefault="00A050DE" w:rsidP="00633EA3">
      <w:pPr>
        <w:spacing w:before="120" w:after="240" w:line="240" w:lineRule="auto"/>
        <w:jc w:val="both"/>
        <w:rPr>
          <w:rFonts w:ascii="Arial" w:eastAsia="Calibri" w:hAnsi="Arial" w:cs="Arial"/>
          <w:sz w:val="24"/>
        </w:rPr>
      </w:pPr>
    </w:p>
    <w:p w:rsidR="00A050DE" w:rsidRPr="00590CA3" w:rsidRDefault="00A050DE"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37.</w:t>
      </w:r>
    </w:p>
    <w:p w:rsidR="00A050DE" w:rsidRPr="00590CA3" w:rsidRDefault="00A050DE" w:rsidP="00633EA3">
      <w:pPr>
        <w:spacing w:before="120" w:after="240" w:line="240" w:lineRule="auto"/>
        <w:jc w:val="both"/>
        <w:rPr>
          <w:rFonts w:ascii="Arial" w:eastAsia="Calibri" w:hAnsi="Arial" w:cs="Arial"/>
          <w:b/>
          <w:sz w:val="28"/>
        </w:rPr>
      </w:pPr>
      <w:r w:rsidRPr="00590CA3">
        <w:rPr>
          <w:rFonts w:ascii="Arial" w:eastAsia="Calibri" w:hAnsi="Arial" w:cs="Arial"/>
          <w:b/>
          <w:sz w:val="28"/>
        </w:rPr>
        <w:t>Pagamento antecipado em contratações públicas: somente no caso de expressa previsão no edital e no contrato</w:t>
      </w:r>
    </w:p>
    <w:p w:rsidR="00A050DE" w:rsidRPr="00590CA3" w:rsidRDefault="00A050DE" w:rsidP="001522A7">
      <w:pPr>
        <w:spacing w:before="120" w:after="240" w:line="360" w:lineRule="auto"/>
        <w:jc w:val="both"/>
        <w:rPr>
          <w:rFonts w:ascii="Arial" w:eastAsia="Calibri" w:hAnsi="Arial" w:cs="Arial"/>
          <w:b/>
          <w:i/>
          <w:sz w:val="24"/>
        </w:rPr>
      </w:pPr>
      <w:r w:rsidRPr="00590CA3">
        <w:rPr>
          <w:rFonts w:ascii="Arial" w:eastAsia="Calibri" w:hAnsi="Arial" w:cs="Arial"/>
          <w:sz w:val="24"/>
        </w:rPr>
        <w:t>Em sede de tomada de contas especial, instaurada pelo Ministério da Integração Nacional, foram apuradas potenciais irregularidades na execução do Convênio 778/1999, o qual transferiu ao Município de Bacabal, no Maranhão, recursos no valor de R$ 300.000,00, em 30/6/2000, com vistas à contenção de encostas por meio da construção de muro de arrimo às margens do Rio Mearim. A esse respeito, o relator registrou que, “</w:t>
      </w:r>
      <w:r w:rsidRPr="00590CA3">
        <w:rPr>
          <w:rFonts w:ascii="Arial" w:eastAsia="Calibri" w:hAnsi="Arial" w:cs="Arial"/>
          <w:i/>
          <w:sz w:val="24"/>
        </w:rPr>
        <w:t>embora o órgão concedente tenha verificado que as obras somente se iniciaram em setembro de 2000, a prefeitura já havia efetuado o saque de R$ 90.000,00 (30% dos recursos) até agosto daquele exercício. Em 22/11/2000, observou-se que 72,44% dos recursos haviam sido sacados, enquanto que apenas 52% da obra haviam sido executados (75m/146m). Posteriormente, em fevereiro de 2001, constatou-se o saque de 100% dos recursos e, em junho de 2001, a consecução de 80% da meta programada (80m/146m</w:t>
      </w:r>
      <w:r w:rsidRPr="00590CA3">
        <w:rPr>
          <w:rFonts w:ascii="Arial" w:eastAsia="Calibri" w:hAnsi="Arial" w:cs="Arial"/>
          <w:sz w:val="24"/>
        </w:rPr>
        <w:t>)”, tudo levando à conclusão, portanto, de que, efetivamente, ocorrera pagamento antecipado.  No entender do relator, “</w:t>
      </w:r>
      <w:r w:rsidRPr="00590CA3">
        <w:rPr>
          <w:rFonts w:ascii="Arial" w:eastAsia="Calibri" w:hAnsi="Arial" w:cs="Arial"/>
          <w:i/>
          <w:sz w:val="24"/>
        </w:rPr>
        <w:t>de acordo com o art. 38 do Decreto 93.872/86, a efetivação de adiantamento somente pode ser admitida se estabelecidas as devidas garantias e se houver a respectiva previsão no contrato e no edital da licitação. Contudo, observa-se que não há, no contrato e no edital, previsão da possibilidade de adiantamento e de prestação da garantia correspondente</w:t>
      </w:r>
      <w:r w:rsidRPr="00590CA3">
        <w:rPr>
          <w:rFonts w:ascii="Arial" w:eastAsia="Calibri" w:hAnsi="Arial" w:cs="Arial"/>
          <w:sz w:val="24"/>
        </w:rPr>
        <w:t xml:space="preserve">”. Por conseguinte, concluiu que houve infração ao disposto no art. 62 da Lei 4.320/64, ou seja, antecipação indevida dos pagamentos. Propôs, então, por </w:t>
      </w:r>
      <w:r w:rsidRPr="00590CA3">
        <w:rPr>
          <w:rFonts w:ascii="Arial" w:eastAsia="Calibri" w:hAnsi="Arial" w:cs="Arial"/>
          <w:sz w:val="24"/>
        </w:rPr>
        <w:lastRenderedPageBreak/>
        <w:t xml:space="preserve">essa e por outras razões, o julgamento pela irregularidade das contas dos responsáveis, sem prejuízo da aplicação de multa. O Plenário acolheu a proposta formulada. </w:t>
      </w:r>
      <w:r w:rsidRPr="00590CA3">
        <w:rPr>
          <w:rFonts w:ascii="Arial" w:eastAsia="Calibri" w:hAnsi="Arial" w:cs="Arial"/>
          <w:b/>
          <w:i/>
          <w:sz w:val="24"/>
        </w:rPr>
        <w:t>Acórdão nº 2679/2010-Plenário, TC-014.091/2005-8, rel. Min-Subst. Augusto Sherman Cavalcanti, 06.10.2010.</w:t>
      </w:r>
    </w:p>
    <w:p w:rsidR="00633EA3" w:rsidRPr="00590CA3" w:rsidRDefault="00633EA3" w:rsidP="00633EA3">
      <w:pPr>
        <w:spacing w:before="120" w:after="240" w:line="240" w:lineRule="auto"/>
        <w:jc w:val="both"/>
        <w:rPr>
          <w:rFonts w:ascii="Arial" w:eastAsia="Calibri" w:hAnsi="Arial" w:cs="Arial"/>
          <w:b/>
          <w:i/>
          <w:sz w:val="24"/>
        </w:rPr>
      </w:pPr>
    </w:p>
    <w:p w:rsidR="00A050DE" w:rsidRPr="00590CA3" w:rsidRDefault="00A050DE" w:rsidP="00633EA3">
      <w:pPr>
        <w:spacing w:before="120" w:after="240" w:line="240" w:lineRule="auto"/>
        <w:jc w:val="both"/>
        <w:rPr>
          <w:rFonts w:ascii="Arial" w:eastAsia="Calibri" w:hAnsi="Arial" w:cs="Arial"/>
          <w:b/>
          <w:sz w:val="24"/>
        </w:rPr>
      </w:pPr>
      <w:r w:rsidRPr="00590CA3">
        <w:rPr>
          <w:rFonts w:ascii="Arial" w:eastAsia="Calibri" w:hAnsi="Arial" w:cs="Arial"/>
          <w:b/>
          <w:sz w:val="24"/>
        </w:rPr>
        <w:t>I</w:t>
      </w:r>
      <w:r w:rsidRPr="00590CA3">
        <w:rPr>
          <w:rFonts w:ascii="Arial" w:eastAsia="Calibri" w:hAnsi="Arial" w:cs="Arial"/>
          <w:b/>
          <w:sz w:val="28"/>
        </w:rPr>
        <w:t xml:space="preserve">mpossibilidade de exigir declaração formal da licitante de que dispõe de usina de asfalto, para fim de qualificação técnica </w:t>
      </w:r>
    </w:p>
    <w:p w:rsidR="00A050DE" w:rsidRPr="00590CA3" w:rsidRDefault="00A050DE" w:rsidP="001522A7">
      <w:pPr>
        <w:spacing w:before="120" w:after="240" w:line="360" w:lineRule="auto"/>
        <w:jc w:val="both"/>
        <w:rPr>
          <w:rFonts w:ascii="Arial" w:eastAsia="Calibri" w:hAnsi="Arial" w:cs="Arial"/>
          <w:sz w:val="24"/>
        </w:rPr>
      </w:pPr>
      <w:r w:rsidRPr="00590CA3">
        <w:rPr>
          <w:rFonts w:ascii="Arial" w:eastAsia="Calibri" w:hAnsi="Arial" w:cs="Arial"/>
          <w:sz w:val="24"/>
        </w:rPr>
        <w:t>Em representação formulada ao TCU, foram apontadas possíveis irregularidades na Tomada de Preços nº 25/2010, realizada pela Prefeitura Municipal de Cariacica/ES, destinada à contratação de empresa para execução de serviços de drenagem e pavimentação de vias urbanas, financiada, em parte, com recursos oriundos de contratos de repasse celebrados com o Ministério das Cidades. Dentre tais irregularidades, constou a “</w:t>
      </w:r>
      <w:r w:rsidRPr="00590CA3">
        <w:rPr>
          <w:rFonts w:ascii="Arial" w:eastAsia="Calibri" w:hAnsi="Arial" w:cs="Arial"/>
          <w:i/>
          <w:sz w:val="24"/>
        </w:rPr>
        <w:t>exigência, como requisito de qualificação técnica, de declaração formal de que dispõe de usina de asfalto com capacidade de produção igual ou superior a 60 toneladas/hora, com licença de operação emitida pelo órgão ambiental competente, em vigor na data de entrega das propostas, a qual deverá estar localizada num raio máximo de 60 km de distância da sede do Município</w:t>
      </w:r>
      <w:r w:rsidRPr="00590CA3">
        <w:rPr>
          <w:rFonts w:ascii="Arial" w:eastAsia="Calibri" w:hAnsi="Arial" w:cs="Arial"/>
          <w:sz w:val="24"/>
        </w:rPr>
        <w:t>”, a qual motivou a audiência dos responsáveis. Examinadas as justificativas apresentadas, a unidade instrutiva, citando vários precedentes do TCU, concluiu ser indevida a exigência. A respeito da situação, o relator ressaltou a existência de ampla jurisprudência do TCU, no sentido de que se trata de exigência descabida, sendo, por isso, “</w:t>
      </w:r>
      <w:r w:rsidRPr="00590CA3">
        <w:rPr>
          <w:rFonts w:ascii="Arial" w:eastAsia="Calibri" w:hAnsi="Arial" w:cs="Arial"/>
          <w:i/>
          <w:sz w:val="24"/>
        </w:rPr>
        <w:t>motivo suficiente para anulação do certame</w:t>
      </w:r>
      <w:r w:rsidRPr="00590CA3">
        <w:rPr>
          <w:rFonts w:ascii="Arial" w:eastAsia="Calibri" w:hAnsi="Arial" w:cs="Arial"/>
          <w:sz w:val="24"/>
        </w:rPr>
        <w:t>”, a exemplo do Acórdão 1495/2009 – Plenário, do qual destacou o seguinte excerto do voto condutor da decisão: “</w:t>
      </w:r>
      <w:r w:rsidRPr="00590CA3">
        <w:rPr>
          <w:rFonts w:ascii="Arial" w:eastAsia="Calibri" w:hAnsi="Arial" w:cs="Arial"/>
          <w:i/>
          <w:sz w:val="24"/>
        </w:rPr>
        <w:t>restringe o caráter competitivo do certame a inclusão de cláusula exigindo, na fase de habilitação, que a empresa licitante já possua usina de asfalto instalada, ou, em caso negativo, que apresente declaração de terceiros detentores de usina, ainda mais quando é fixado limite máximo de distância para sua instalação</w:t>
      </w:r>
      <w:r w:rsidRPr="00590CA3">
        <w:rPr>
          <w:rFonts w:ascii="Arial" w:eastAsia="Calibri" w:hAnsi="Arial" w:cs="Arial"/>
          <w:sz w:val="24"/>
        </w:rPr>
        <w:t>”. (...) “</w:t>
      </w:r>
      <w:r w:rsidRPr="00590CA3">
        <w:rPr>
          <w:rFonts w:ascii="Arial" w:eastAsia="Calibri" w:hAnsi="Arial" w:cs="Arial"/>
          <w:i/>
          <w:sz w:val="24"/>
        </w:rPr>
        <w:t>Não há como buscar amparo na Lei n. 8.666/93 para se exigir dos licitantes a disponibilidade de usina de asfalto, ainda mais com localização prévia, nem, sequer, a exigência de termo de compromisso com usinas de terceiros</w:t>
      </w:r>
      <w:r w:rsidRPr="00590CA3">
        <w:rPr>
          <w:rFonts w:ascii="Arial" w:eastAsia="Calibri" w:hAnsi="Arial" w:cs="Arial"/>
          <w:sz w:val="24"/>
        </w:rPr>
        <w:t>”. Enfatizou o relator que, “</w:t>
      </w:r>
      <w:r w:rsidRPr="00590CA3">
        <w:rPr>
          <w:rFonts w:ascii="Arial" w:eastAsia="Calibri" w:hAnsi="Arial" w:cs="Arial"/>
          <w:i/>
          <w:sz w:val="24"/>
        </w:rPr>
        <w:t xml:space="preserve">caso o órgão licitante considere relevantes exigências de comprovação de propriedade de </w:t>
      </w:r>
      <w:r w:rsidRPr="00590CA3">
        <w:rPr>
          <w:rFonts w:ascii="Arial" w:eastAsia="Calibri" w:hAnsi="Arial" w:cs="Arial"/>
          <w:i/>
          <w:sz w:val="24"/>
        </w:rPr>
        <w:lastRenderedPageBreak/>
        <w:t>equipamentos, como a usina de asfalto, ou de apresentação de licenças de qualquer natureza, deve fazer tais imposições por ocasião da assinatura do contrato a ser firmado com a proponente vencedora, e não como requisito de habilitação</w:t>
      </w:r>
      <w:r w:rsidRPr="00590CA3">
        <w:rPr>
          <w:rFonts w:ascii="Arial" w:eastAsia="Calibri" w:hAnsi="Arial" w:cs="Arial"/>
          <w:sz w:val="24"/>
        </w:rPr>
        <w:t>”. Assim, anuindo à proposta da unidade instrutiva, o relator votou pela fixação de prazo à Prefeitura de Cariacica para adotar as providências necessárias com vistas à anulação da Tomada de Preços nº 25/2010, no que contou com a anuência do Colegiado. Precedentes citados: Acórdãos 648/2004, 1578/2005, 1332/2006, 1631/2007, 2656/2007, 983/2008, 1663/2008, 2215/2008, 2150/2008, 1495/2009, 935/2010, 1339/2010,</w:t>
      </w:r>
      <w:r w:rsidRPr="00590CA3">
        <w:rPr>
          <w:rFonts w:ascii="Arial" w:eastAsia="Calibri" w:hAnsi="Arial" w:cs="Arial"/>
          <w:b/>
          <w:sz w:val="24"/>
        </w:rPr>
        <w:t xml:space="preserve"> </w:t>
      </w:r>
      <w:r w:rsidRPr="00590CA3">
        <w:rPr>
          <w:rFonts w:ascii="Arial" w:eastAsia="Calibri" w:hAnsi="Arial" w:cs="Arial"/>
          <w:sz w:val="24"/>
        </w:rPr>
        <w:t xml:space="preserve">todos do Plenário. </w:t>
      </w:r>
      <w:r w:rsidRPr="00590CA3">
        <w:rPr>
          <w:rFonts w:ascii="Arial" w:eastAsia="Calibri" w:hAnsi="Arial" w:cs="Arial"/>
          <w:b/>
          <w:i/>
          <w:sz w:val="24"/>
        </w:rPr>
        <w:t>Acórdão n.º 5900/2010-2ª Câmara, TC-022.785/2010-8, rel. Min. Benjamin Zymler, 05.10.2010</w:t>
      </w:r>
      <w:r w:rsidRPr="00590CA3">
        <w:rPr>
          <w:rFonts w:ascii="Arial" w:eastAsia="Calibri" w:hAnsi="Arial" w:cs="Arial"/>
          <w:sz w:val="24"/>
        </w:rPr>
        <w:t>.</w:t>
      </w:r>
    </w:p>
    <w:p w:rsidR="00A050DE" w:rsidRPr="00590CA3" w:rsidRDefault="00A050DE" w:rsidP="00633EA3">
      <w:pPr>
        <w:spacing w:before="120" w:after="240" w:line="240" w:lineRule="auto"/>
        <w:jc w:val="both"/>
        <w:rPr>
          <w:rFonts w:ascii="Arial" w:eastAsia="Calibri" w:hAnsi="Arial" w:cs="Arial"/>
          <w:sz w:val="24"/>
        </w:rPr>
      </w:pPr>
    </w:p>
    <w:p w:rsidR="00A050DE" w:rsidRPr="00590CA3" w:rsidRDefault="00A050DE" w:rsidP="00633EA3">
      <w:pPr>
        <w:spacing w:before="120" w:after="240" w:line="240" w:lineRule="auto"/>
        <w:jc w:val="both"/>
        <w:rPr>
          <w:rFonts w:ascii="Arial" w:eastAsia="Calibri" w:hAnsi="Arial" w:cs="Arial"/>
          <w:b/>
          <w:sz w:val="28"/>
        </w:rPr>
      </w:pPr>
      <w:r w:rsidRPr="00590CA3">
        <w:rPr>
          <w:rFonts w:ascii="Arial" w:eastAsia="Calibri" w:hAnsi="Arial" w:cs="Arial"/>
          <w:b/>
          <w:sz w:val="28"/>
        </w:rPr>
        <w:t xml:space="preserve">A possibilidade de os licitantes inabilitados, por não apresentarem índices de qualificação econômico-financeira iguais ou superiores aos exigidos no edital, comprovarem, por outros meios, capacidade de cumprir o futuro contrato é ato discricionário da Administração Pública </w:t>
      </w:r>
    </w:p>
    <w:p w:rsidR="00A050DE" w:rsidRPr="00590CA3" w:rsidRDefault="00A050DE" w:rsidP="001522A7">
      <w:pPr>
        <w:spacing w:before="120" w:after="240" w:line="360" w:lineRule="auto"/>
        <w:jc w:val="both"/>
        <w:rPr>
          <w:rFonts w:ascii="Arial" w:eastAsia="Calibri" w:hAnsi="Arial" w:cs="Arial"/>
          <w:sz w:val="24"/>
        </w:rPr>
      </w:pPr>
      <w:r w:rsidRPr="00590CA3">
        <w:rPr>
          <w:rFonts w:ascii="Arial" w:eastAsia="Calibri" w:hAnsi="Arial" w:cs="Arial"/>
          <w:sz w:val="24"/>
        </w:rPr>
        <w:t>Na mesma representação formulada ao TCU relativa à Tomada de Preços nº 25/2010, procedida pela Prefeitura Municipal de Cariacica/ES, outra possível irregularidade contida no edital foi a previsão da “</w:t>
      </w:r>
      <w:r w:rsidRPr="00590CA3">
        <w:rPr>
          <w:rFonts w:ascii="Arial" w:eastAsia="Calibri" w:hAnsi="Arial" w:cs="Arial"/>
          <w:i/>
          <w:sz w:val="24"/>
        </w:rPr>
        <w:t>inabilitação de licitantes que apresentarem índices de capacidade financeira (Índice de Liquidez Geral - ILG, Índice de Liquidez Corrente - ILC e Índice de Solvência Geral - ISG) inferiores a 1,0 (um), sem lhes oportunizar a possibilidade de comprovarem, por outros meios, como o capital mínimo ou patrimônio líquido, ou, ainda, prestação de garantia, que detêm condições de adimplir com o futuro contrato</w:t>
      </w:r>
      <w:r w:rsidRPr="00590CA3">
        <w:rPr>
          <w:rFonts w:ascii="Arial" w:eastAsia="Calibri" w:hAnsi="Arial" w:cs="Arial"/>
          <w:sz w:val="24"/>
        </w:rPr>
        <w:t>”. Ao tratar do assunto, a partir das justificativas apresentadas, o relator registrou que a unidade técnica suscitou o “</w:t>
      </w:r>
      <w:r w:rsidRPr="00590CA3">
        <w:rPr>
          <w:rFonts w:ascii="Arial" w:eastAsia="Calibri" w:hAnsi="Arial" w:cs="Arial"/>
          <w:i/>
          <w:sz w:val="24"/>
        </w:rPr>
        <w:t>fato de o ato convocatório não prever a possibilidade de as empresas que apresentarem índices contábeis exigidos aquém dos valores estipulados comprovarem sua capacidade econômico-financeira por outros meios, como o capital mínimo ou patrimônio líquido ou, ainda, prestação de garantia, a fim de se ampliar a competitividade do certame</w:t>
      </w:r>
      <w:r w:rsidRPr="00590CA3">
        <w:rPr>
          <w:rFonts w:ascii="Arial" w:eastAsia="Calibri" w:hAnsi="Arial" w:cs="Arial"/>
          <w:sz w:val="24"/>
        </w:rPr>
        <w:t>”. Ainda conforme o relator, “</w:t>
      </w:r>
      <w:r w:rsidRPr="00590CA3">
        <w:rPr>
          <w:rFonts w:ascii="Arial" w:eastAsia="Calibri" w:hAnsi="Arial" w:cs="Arial"/>
          <w:i/>
          <w:sz w:val="24"/>
        </w:rPr>
        <w:t xml:space="preserve">tal possibilidade está prevista no item 7.2 da Instrução Normativa/MARE n. 5, de 21/7/1995, que estabelece os </w:t>
      </w:r>
      <w:r w:rsidRPr="00590CA3">
        <w:rPr>
          <w:rFonts w:ascii="Arial" w:eastAsia="Calibri" w:hAnsi="Arial" w:cs="Arial"/>
          <w:i/>
          <w:sz w:val="24"/>
        </w:rPr>
        <w:lastRenderedPageBreak/>
        <w:t>procedimentos destinados à implantação e operacionalização do Sistema de Cadastro Unificado de Serviços Gerais (Sicaf), segundo o qual as empresas que apresentarem resultado igual ou menor do que 1 em qualquer um dos índices apurados devem comprovar, considerados os riscos para administração e, a critério da autoridade competente, capital mínimo ou patrimônio líquido mínimo no limite previsto na Lei n. 8.666/93, podendo, ainda, ser solicitada prestação de garantia na forma do artigo 56, § 1º, do referido diploma legal</w:t>
      </w:r>
      <w:r w:rsidRPr="00590CA3">
        <w:rPr>
          <w:rFonts w:ascii="Arial" w:eastAsia="Calibri" w:hAnsi="Arial" w:cs="Arial"/>
          <w:sz w:val="24"/>
        </w:rPr>
        <w:t>”. Entretanto, “</w:t>
      </w:r>
      <w:r w:rsidRPr="00590CA3">
        <w:rPr>
          <w:rFonts w:ascii="Arial" w:eastAsia="Calibri" w:hAnsi="Arial" w:cs="Arial"/>
          <w:i/>
          <w:sz w:val="24"/>
        </w:rPr>
        <w:t>conforme preveem o artigo 31, § 2º, da Lei n. 8.666/93 e a própria instrução normativa supramencionada, não é obrigatório que a Administração estabeleça no ato convocatório a possibilidade de as licitantes que não apresentarem índices contábeis maiores ou iguais a 1 demonstrarem, para fins de habilitação, capital mínimo ou patrimônio líquido mínimo ou prestação de garantia. Tal previsão é ato discricionário da Administração</w:t>
      </w:r>
      <w:r w:rsidRPr="00590CA3">
        <w:rPr>
          <w:rFonts w:ascii="Arial" w:eastAsia="Calibri" w:hAnsi="Arial" w:cs="Arial"/>
          <w:sz w:val="24"/>
        </w:rPr>
        <w:t>”. Assim, concluiu o relator, em seu voto que, “</w:t>
      </w:r>
      <w:r w:rsidRPr="00590CA3">
        <w:rPr>
          <w:rFonts w:ascii="Arial" w:eastAsia="Calibri" w:hAnsi="Arial" w:cs="Arial"/>
          <w:i/>
          <w:sz w:val="24"/>
        </w:rPr>
        <w:t>não se pode exigir do ente municipal que faça constar dos editais de licitação essa possibilidade</w:t>
      </w:r>
      <w:r w:rsidRPr="00590CA3">
        <w:rPr>
          <w:rFonts w:ascii="Arial" w:eastAsia="Calibri" w:hAnsi="Arial" w:cs="Arial"/>
          <w:sz w:val="24"/>
        </w:rPr>
        <w:t xml:space="preserve">”. O Colegiado acolheu o voto do relator.  </w:t>
      </w:r>
      <w:r w:rsidRPr="00590CA3">
        <w:rPr>
          <w:rFonts w:ascii="Arial" w:eastAsia="Calibri" w:hAnsi="Arial" w:cs="Arial"/>
          <w:b/>
          <w:i/>
          <w:sz w:val="24"/>
        </w:rPr>
        <w:t>Acórdão n.º 5900/2010-2ª Câmara, TC-022.785/2010-8, rel. Min. Benjamin Zymler, 05.10.2010</w:t>
      </w:r>
      <w:r w:rsidRPr="00590CA3">
        <w:rPr>
          <w:rFonts w:ascii="Arial" w:eastAsia="Calibri" w:hAnsi="Arial" w:cs="Arial"/>
          <w:sz w:val="24"/>
        </w:rPr>
        <w:t>.</w:t>
      </w:r>
    </w:p>
    <w:p w:rsidR="004B4517" w:rsidRPr="00590CA3" w:rsidRDefault="004B4517" w:rsidP="00633EA3">
      <w:pPr>
        <w:spacing w:before="120" w:after="240" w:line="240" w:lineRule="auto"/>
        <w:jc w:val="both"/>
        <w:rPr>
          <w:rFonts w:ascii="Arial" w:eastAsia="Calibri" w:hAnsi="Arial" w:cs="Arial"/>
          <w:sz w:val="24"/>
        </w:rPr>
      </w:pPr>
    </w:p>
    <w:p w:rsidR="00B21CE2" w:rsidRPr="00590CA3" w:rsidRDefault="00B21CE2"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43.</w:t>
      </w:r>
    </w:p>
    <w:p w:rsidR="00B21CE2" w:rsidRPr="00590CA3" w:rsidRDefault="00B21CE2" w:rsidP="00633EA3">
      <w:pPr>
        <w:spacing w:before="120" w:after="240" w:line="240" w:lineRule="auto"/>
        <w:jc w:val="both"/>
        <w:rPr>
          <w:rFonts w:ascii="Arial" w:eastAsia="Calibri" w:hAnsi="Arial" w:cs="Arial"/>
          <w:b/>
          <w:sz w:val="28"/>
        </w:rPr>
      </w:pPr>
      <w:r w:rsidRPr="00590CA3">
        <w:rPr>
          <w:rFonts w:ascii="Arial" w:eastAsia="Calibri" w:hAnsi="Arial" w:cs="Arial"/>
          <w:b/>
          <w:sz w:val="28"/>
        </w:rPr>
        <w:t>Os preços dos insumos constantes da planilha orçamentária são mais bem representados pela média, ou mediana, e não pelo menor dos preços pesquisados no mercado</w:t>
      </w:r>
    </w:p>
    <w:p w:rsidR="00B21CE2" w:rsidRPr="00590CA3" w:rsidRDefault="00B21CE2" w:rsidP="001522A7">
      <w:pPr>
        <w:spacing w:before="120" w:after="240" w:line="360" w:lineRule="auto"/>
        <w:jc w:val="both"/>
        <w:rPr>
          <w:rFonts w:ascii="Arial" w:eastAsia="Calibri" w:hAnsi="Arial" w:cs="Arial"/>
          <w:sz w:val="24"/>
        </w:rPr>
      </w:pPr>
      <w:r w:rsidRPr="00590CA3">
        <w:rPr>
          <w:rFonts w:ascii="Arial" w:eastAsia="Calibri" w:hAnsi="Arial" w:cs="Arial"/>
          <w:sz w:val="24"/>
        </w:rPr>
        <w:t>Ao apreciar relatório de auditoria realizada nas obras de construção do edifício-sede do Tribunal Regional do Trabalho da 17ª Região – TRT/ES, cujo escopo abrangeu o exame de contratos e processos licitatórios, dentre eles a Concorrência n.º 1/2009, o Tribunal, por meio do Acórdão n.º 896/2010-Plenário, formulou determinações àquele órgão. Contra o aludido acórdão, foi interposto pedido de reexame. Um dos questionamentos apresentados pelos responsáveis do TRT/ES referia-se à determinação para que fosse alterada “</w:t>
      </w:r>
      <w:r w:rsidRPr="00590CA3">
        <w:rPr>
          <w:rFonts w:ascii="Arial" w:eastAsia="Calibri" w:hAnsi="Arial" w:cs="Arial"/>
          <w:i/>
          <w:sz w:val="24"/>
        </w:rPr>
        <w:t>a planilha orçamentária de forma a utilizar os menores preços, e não os preços medianos para os diversos insumos cotados no mercado</w:t>
      </w:r>
      <w:r w:rsidRPr="00590CA3">
        <w:rPr>
          <w:rFonts w:ascii="Arial" w:eastAsia="Calibri" w:hAnsi="Arial" w:cs="Arial"/>
          <w:sz w:val="24"/>
        </w:rPr>
        <w:t xml:space="preserve">”. Tais insumos não teriam cotação no Sistema Nacional de Pesquisa de Custos e Índices da </w:t>
      </w:r>
      <w:r w:rsidRPr="00590CA3">
        <w:rPr>
          <w:rFonts w:ascii="Arial" w:eastAsia="Calibri" w:hAnsi="Arial" w:cs="Arial"/>
          <w:sz w:val="24"/>
        </w:rPr>
        <w:lastRenderedPageBreak/>
        <w:t xml:space="preserve">Construção Civil (SINAPI), mantido e divulgado, na </w:t>
      </w:r>
      <w:r w:rsidRPr="00590CA3">
        <w:rPr>
          <w:rFonts w:ascii="Arial" w:eastAsia="Calibri" w:hAnsi="Arial" w:cs="Arial"/>
          <w:b/>
          <w:sz w:val="24"/>
        </w:rPr>
        <w:t>internet</w:t>
      </w:r>
      <w:r w:rsidRPr="00590CA3">
        <w:rPr>
          <w:rFonts w:ascii="Arial" w:eastAsia="Calibri" w:hAnsi="Arial" w:cs="Arial"/>
          <w:sz w:val="24"/>
        </w:rPr>
        <w:t>, pela Caixa Econômica Federal, razão pela qual os gestores utilizaram como referência os preços medianos, quando havia pelo menos três propostas, e o menor preço nos demais casos. As unidades técnicas do Tribunal responsáveis pela instrução concluíram pela adequabilidade da determinação anterior, sugerindo, então, que se mantivesse a utilização da menor cotação dos preços na orçamentação da obra, em detrimento da mediana utilizada pelo TRT/ES. O relator, porém, divergiu da proposta apresentada. Em seu voto, enfatizou que a Lei n.º 8.666/1993 “</w:t>
      </w:r>
      <w:r w:rsidRPr="00590CA3">
        <w:rPr>
          <w:rFonts w:ascii="Arial" w:eastAsia="Calibri" w:hAnsi="Arial" w:cs="Arial"/>
          <w:i/>
          <w:sz w:val="24"/>
        </w:rPr>
        <w:t>não prescreve como deve ser realizado este orçamento</w:t>
      </w:r>
      <w:r w:rsidRPr="00590CA3">
        <w:rPr>
          <w:rFonts w:ascii="Arial" w:eastAsia="Calibri" w:hAnsi="Arial" w:cs="Arial"/>
          <w:sz w:val="24"/>
        </w:rPr>
        <w:t>”. Já a Lei de Diretrizes Orçamentárias (LDO) “</w:t>
      </w:r>
      <w:r w:rsidRPr="00590CA3">
        <w:rPr>
          <w:rFonts w:ascii="Arial" w:eastAsia="Calibri" w:hAnsi="Arial" w:cs="Arial"/>
          <w:i/>
          <w:sz w:val="24"/>
        </w:rPr>
        <w:t>não prevê a forma pela qual será realizada a cotação de preços quando ausente o insumo no SINAPI e inexistente a tabela de referência formalmente aprovada por órgão ou entidade da administração pública federal</w:t>
      </w:r>
      <w:r w:rsidRPr="00590CA3">
        <w:rPr>
          <w:rFonts w:ascii="Arial" w:eastAsia="Calibri" w:hAnsi="Arial" w:cs="Arial"/>
          <w:sz w:val="24"/>
        </w:rPr>
        <w:t>”. Assim, para o relator, não seria razoável “</w:t>
      </w:r>
      <w:r w:rsidRPr="00590CA3">
        <w:rPr>
          <w:rFonts w:ascii="Arial" w:eastAsia="Calibri" w:hAnsi="Arial" w:cs="Arial"/>
          <w:i/>
          <w:sz w:val="24"/>
        </w:rPr>
        <w:t>a exigência de que a orçamentação, nestes casos, deva sempre considerar o menor preço cotado no mercado</w:t>
      </w:r>
      <w:r w:rsidRPr="00590CA3">
        <w:rPr>
          <w:rFonts w:ascii="Arial" w:eastAsia="Calibri" w:hAnsi="Arial" w:cs="Arial"/>
          <w:sz w:val="24"/>
        </w:rPr>
        <w:t>”. Desse modo, entendeu que “</w:t>
      </w:r>
      <w:r w:rsidRPr="00590CA3">
        <w:rPr>
          <w:rFonts w:ascii="Arial" w:eastAsia="Calibri" w:hAnsi="Arial" w:cs="Arial"/>
          <w:i/>
          <w:sz w:val="24"/>
        </w:rPr>
        <w:t>a utilização de preços médios ou da mediana, além de bem refletir os preços praticados no mercado, não implica ofensa à Lei de Licitações, à LDO/2009 ou aos princípios gerais da Administração Pública</w:t>
      </w:r>
      <w:r w:rsidRPr="00590CA3">
        <w:rPr>
          <w:rFonts w:ascii="Arial" w:eastAsia="Calibri" w:hAnsi="Arial" w:cs="Arial"/>
          <w:sz w:val="24"/>
        </w:rPr>
        <w:t>.” Concluiu o relator que “</w:t>
      </w:r>
      <w:r w:rsidRPr="00590CA3">
        <w:rPr>
          <w:rFonts w:ascii="Arial" w:eastAsia="Calibri" w:hAnsi="Arial" w:cs="Arial"/>
          <w:i/>
          <w:sz w:val="24"/>
        </w:rPr>
        <w:t>o preço de mercado é mais bem representado pela média ou mediana uma vez que constituem medidas de tendência central e, dessa forma, representam de uma forma mais robusta os preços praticados no mercado</w:t>
      </w:r>
      <w:r w:rsidRPr="00590CA3">
        <w:rPr>
          <w:rFonts w:ascii="Arial" w:eastAsia="Calibri" w:hAnsi="Arial" w:cs="Arial"/>
          <w:sz w:val="24"/>
        </w:rPr>
        <w:t>”. Ao final, votou pelo provimento do pedido de reexame, com a consequente exclusão das deliberações anteriores do TCU. O Plenário acolheu o voto do relator.</w:t>
      </w:r>
      <w:r w:rsidRPr="00590CA3">
        <w:rPr>
          <w:rFonts w:ascii="Arial" w:eastAsia="Calibri" w:hAnsi="Arial" w:cs="Arial"/>
          <w:i/>
          <w:sz w:val="24"/>
        </w:rPr>
        <w:t xml:space="preserve"> </w:t>
      </w:r>
      <w:r w:rsidRPr="00590CA3">
        <w:rPr>
          <w:rFonts w:ascii="Arial" w:eastAsia="Calibri" w:hAnsi="Arial" w:cs="Arial"/>
          <w:b/>
          <w:i/>
          <w:sz w:val="24"/>
        </w:rPr>
        <w:t>Acórdão n.º 3068/2010-Plenário, TC-024.376/2008-6, rel. Min. Benjamin Zymler, 17.11.2010</w:t>
      </w:r>
      <w:r w:rsidRPr="00590CA3">
        <w:rPr>
          <w:rFonts w:ascii="Arial" w:eastAsia="Calibri" w:hAnsi="Arial" w:cs="Arial"/>
          <w:sz w:val="24"/>
        </w:rPr>
        <w:t>.</w:t>
      </w:r>
    </w:p>
    <w:p w:rsidR="00B21CE2" w:rsidRPr="00590CA3" w:rsidRDefault="00B21CE2" w:rsidP="00633EA3">
      <w:pPr>
        <w:spacing w:before="120" w:after="240" w:line="240" w:lineRule="auto"/>
        <w:jc w:val="both"/>
        <w:rPr>
          <w:rFonts w:ascii="Arial" w:eastAsia="Calibri" w:hAnsi="Arial" w:cs="Arial"/>
          <w:sz w:val="24"/>
        </w:rPr>
      </w:pPr>
    </w:p>
    <w:p w:rsidR="00B21CE2" w:rsidRPr="00590CA3" w:rsidRDefault="00B21CE2" w:rsidP="00633EA3">
      <w:pPr>
        <w:spacing w:before="120" w:after="240" w:line="240" w:lineRule="auto"/>
        <w:jc w:val="both"/>
        <w:rPr>
          <w:rFonts w:ascii="Arial" w:eastAsia="Calibri" w:hAnsi="Arial" w:cs="Arial"/>
          <w:b/>
          <w:sz w:val="28"/>
        </w:rPr>
      </w:pPr>
      <w:r w:rsidRPr="00590CA3">
        <w:rPr>
          <w:rFonts w:ascii="Arial" w:eastAsia="Calibri" w:hAnsi="Arial" w:cs="Arial"/>
          <w:b/>
          <w:sz w:val="28"/>
        </w:rPr>
        <w:t>Na composição da planilha orçamentária, devem ser considerados possíveis descontos em razão da escala da contratação</w:t>
      </w:r>
    </w:p>
    <w:p w:rsidR="00B21CE2" w:rsidRPr="00590CA3" w:rsidRDefault="00B21CE2"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Mediante pedidos de reexame, recorrentes demonstraram seu inconformismo com o subitem 9.3 do Acórdão nº 2.710/2009-Plenário, por meio do qual o Tribunal determinou à Companhia Pernambucana de Saneamento (Compesa) que, no prazo de 30 dias, promovesse a repactuação do Contrato nº CT.OS.07.0.0467, de forma a adequar preços unitários – para os quais a </w:t>
      </w:r>
      <w:r w:rsidRPr="00590CA3">
        <w:rPr>
          <w:rFonts w:ascii="Arial" w:eastAsia="Calibri" w:hAnsi="Arial" w:cs="Arial"/>
          <w:sz w:val="24"/>
        </w:rPr>
        <w:lastRenderedPageBreak/>
        <w:t>unidade técnica responsável pela instrução inicial houvera detectado sobrepreço de R$ 65.724.719,60 (94,5% do sobrepreço total) – mediante comparação com preços praticados pela Companhia de Desenvolvimento dos Vales do São Francisco e do Parnaíba (Codevasf). Quando da apreciação anterior do processo, considerou-se que a Compesa falhou ao deixar de promover exame criterioso para fins de definição dos preços dos tubos de aço-carbono e de ferro fundido, isso porque a definição dos preços no orçamento-base deveria necessariamente passar pela aplicação de descontos em relação às fontes de pesquisa consultadas, em razão da economia de escala gerada pela aquisição de grandes quantidades de tubos. Já nesta fase processual, o relator, em seu voto, ao concordar com as análises promovidas pela unidade instrutiva, destacou que “</w:t>
      </w:r>
      <w:r w:rsidRPr="00590CA3">
        <w:rPr>
          <w:rFonts w:ascii="Arial" w:eastAsia="Calibri" w:hAnsi="Arial" w:cs="Arial"/>
          <w:i/>
          <w:sz w:val="24"/>
        </w:rPr>
        <w:t>o caso fático ora enfrentado consiste na suposta omissão da Compesa, no momento de definição de seu orçamento-base, na busca por informações mais precisas junto ao mercado sobre os preços unitários dos tubos de aço-carbono e de ferro fundido</w:t>
      </w:r>
      <w:r w:rsidRPr="00590CA3">
        <w:rPr>
          <w:rFonts w:ascii="Arial" w:eastAsia="Calibri" w:hAnsi="Arial" w:cs="Arial"/>
          <w:sz w:val="24"/>
        </w:rPr>
        <w:t>”. Citando decisão proferida anteriormente pelo Tribunal, o relator apontou que, “a</w:t>
      </w:r>
      <w:r w:rsidRPr="00590CA3">
        <w:rPr>
          <w:rFonts w:ascii="Arial" w:eastAsia="Calibri" w:hAnsi="Arial" w:cs="Arial"/>
          <w:i/>
          <w:sz w:val="24"/>
        </w:rPr>
        <w:t>o elaborar o orçamento que servirá de base para o procedimento licitatório, o gestor tem o dever de se balizar em pesquisas do mercado local, considerando adequadamente os descontos possíveis em face da escala da obra</w:t>
      </w:r>
      <w:r w:rsidRPr="00590CA3">
        <w:rPr>
          <w:rFonts w:ascii="Arial" w:eastAsia="Calibri" w:hAnsi="Arial" w:cs="Arial"/>
          <w:sz w:val="24"/>
        </w:rPr>
        <w:t>”, e que, portanto,</w:t>
      </w:r>
      <w:r w:rsidRPr="00590CA3">
        <w:rPr>
          <w:rFonts w:ascii="Arial" w:eastAsia="Calibri" w:hAnsi="Arial" w:cs="Arial"/>
          <w:i/>
          <w:sz w:val="24"/>
        </w:rPr>
        <w:t xml:space="preserve"> “há que se considerar a natural ausência de um ‘redutor’ (descontos para compras em grande escala) em qualquer sistema de preços referenciais unitários”. </w:t>
      </w:r>
      <w:r w:rsidRPr="00590CA3">
        <w:rPr>
          <w:rFonts w:ascii="Arial" w:eastAsia="Calibri" w:hAnsi="Arial" w:cs="Arial"/>
          <w:sz w:val="24"/>
        </w:rPr>
        <w:t>Para o relator, “</w:t>
      </w:r>
      <w:r w:rsidRPr="00590CA3">
        <w:rPr>
          <w:rFonts w:ascii="Arial" w:eastAsia="Calibri" w:hAnsi="Arial" w:cs="Arial"/>
          <w:i/>
          <w:sz w:val="24"/>
        </w:rPr>
        <w:t>foram identificadas graves deficiências no orçamento, em virtude de este não considerar adequadamente os ganhos de escala, ignorando as possibilidades de significativas reduções nos custos de fornecimento de materiais e equipamentos, oriundas de negociações diretas com fabricantes ou grande revendedores. A falta de coerência não estaria, portanto, em qualquer sistema de referência que fosse adotado, mas sim no fato de que o gestor demonstra não entender as limitações de aplicação de tais sistemas, tratando a elaboração do orçamento de uma grande obra como se fosse o de uma obra de menor porte. Tal procedimento é inaceitável do ponto de vista técnico-econômico e jurídico</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 xml:space="preserve">Considerando que as circunstâncias fáticas geraram um orçamento-base superestimado, o relator votou pela negativa de provimento aos pedidos de reexame apresentados, o que foi acolhido pelo Plenário. Precedente citado: Acórdão </w:t>
      </w:r>
      <w:r w:rsidRPr="00590CA3">
        <w:rPr>
          <w:rFonts w:ascii="Arial" w:eastAsia="Calibri" w:hAnsi="Arial" w:cs="Arial"/>
          <w:sz w:val="24"/>
          <w:lang w:val="pt-PT"/>
        </w:rPr>
        <w:t xml:space="preserve">nº </w:t>
      </w:r>
      <w:r w:rsidRPr="00590CA3">
        <w:rPr>
          <w:rFonts w:ascii="Arial" w:eastAsia="Calibri" w:hAnsi="Arial" w:cs="Arial"/>
          <w:sz w:val="24"/>
        </w:rPr>
        <w:t xml:space="preserve">157/2009-Plenário. </w:t>
      </w:r>
      <w:r w:rsidRPr="00590CA3">
        <w:rPr>
          <w:rFonts w:ascii="Arial" w:eastAsia="Calibri" w:hAnsi="Arial" w:cs="Arial"/>
          <w:b/>
          <w:i/>
          <w:sz w:val="24"/>
        </w:rPr>
        <w:lastRenderedPageBreak/>
        <w:t>Acórdão n.º 3059/2010-Plenário, TC-007.657/2008-3, rel. Min. Augusto Nardes, 17.11.2010</w:t>
      </w:r>
      <w:r w:rsidRPr="00590CA3">
        <w:rPr>
          <w:rFonts w:ascii="Arial" w:eastAsia="Calibri" w:hAnsi="Arial" w:cs="Arial"/>
          <w:sz w:val="24"/>
        </w:rPr>
        <w:t>.</w:t>
      </w:r>
    </w:p>
    <w:p w:rsidR="00B21CE2" w:rsidRPr="00590CA3" w:rsidRDefault="00B21CE2" w:rsidP="00633EA3">
      <w:pPr>
        <w:spacing w:before="120" w:after="240" w:line="240" w:lineRule="auto"/>
        <w:jc w:val="both"/>
        <w:rPr>
          <w:rFonts w:ascii="Arial" w:eastAsia="Calibri" w:hAnsi="Arial" w:cs="Arial"/>
          <w:sz w:val="24"/>
        </w:rPr>
      </w:pPr>
    </w:p>
    <w:p w:rsidR="00B21CE2" w:rsidRPr="00590CA3" w:rsidRDefault="00B21CE2"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44.</w:t>
      </w:r>
    </w:p>
    <w:p w:rsidR="00B21CE2" w:rsidRPr="00590CA3" w:rsidRDefault="00B21CE2" w:rsidP="00633EA3">
      <w:pPr>
        <w:spacing w:before="120" w:after="240" w:line="240" w:lineRule="auto"/>
        <w:jc w:val="both"/>
        <w:rPr>
          <w:rFonts w:ascii="Arial" w:eastAsia="Calibri" w:hAnsi="Arial" w:cs="Arial"/>
          <w:b/>
          <w:sz w:val="28"/>
        </w:rPr>
      </w:pPr>
      <w:r w:rsidRPr="00590CA3">
        <w:rPr>
          <w:rFonts w:ascii="Arial" w:eastAsia="Calibri" w:hAnsi="Arial" w:cs="Arial"/>
          <w:b/>
          <w:sz w:val="28"/>
        </w:rPr>
        <w:t>Exigência de índices de qualificação econômico-financeira destoantes da realidade do mercado</w:t>
      </w:r>
    </w:p>
    <w:p w:rsidR="00B21CE2" w:rsidRPr="00590CA3" w:rsidRDefault="00B21CE2"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Relatório de levantamento de auditoria nas obras de construção de ponte sobre o Rio Acre, na BR-317, apontou diversas irregularidades, entre elas a exigência, no edital da Concorrência n.º 15/2004, de ILG igual ou superior a 2. Os responsáveis pelo Departamento de Estradas de Rodagem do Estado do Acre – Deracre defenderam a relevância e a complexidade da obra, bem como que os índices adotados teriam sido devidamente motivados no processo. A unidade técnica propôs a rejeição dos argumentos, pontuando que as especificidades da obra, situada em local de fácil acesso, viabilizado por rodovias asfaltadas, não requeriam exigência tão estrita. Em seu voto, o relator reconheceu que a exigência de ILG igual ou superior a dois </w:t>
      </w:r>
      <w:r w:rsidRPr="00590CA3">
        <w:rPr>
          <w:rFonts w:ascii="Arial" w:eastAsia="Calibri" w:hAnsi="Arial" w:cs="Arial"/>
          <w:i/>
          <w:sz w:val="24"/>
        </w:rPr>
        <w:t>“soa realmente como bastante excessiva. Recorrendo apenas à intuição, é difícil imaginar que parte relevante de um universo de potenciais empresas interessadas em uma licitação possua créditos de curto e longo prazo mais de duas vezes superiores às suas dívidas.”</w:t>
      </w:r>
      <w:r w:rsidRPr="00590CA3">
        <w:rPr>
          <w:rFonts w:ascii="Arial" w:eastAsia="Calibri" w:hAnsi="Arial" w:cs="Arial"/>
          <w:sz w:val="24"/>
        </w:rPr>
        <w:t xml:space="preserve">. Por isso, o índice utilizado pelo Deracre </w:t>
      </w:r>
      <w:r w:rsidRPr="00590CA3">
        <w:rPr>
          <w:rFonts w:ascii="Arial" w:eastAsia="Calibri" w:hAnsi="Arial" w:cs="Arial"/>
          <w:i/>
          <w:sz w:val="24"/>
        </w:rPr>
        <w:t>“pode ser considerado não usual”</w:t>
      </w:r>
      <w:r w:rsidRPr="00590CA3">
        <w:rPr>
          <w:rFonts w:ascii="Arial" w:eastAsia="Calibri" w:hAnsi="Arial" w:cs="Arial"/>
          <w:sz w:val="24"/>
        </w:rPr>
        <w:t xml:space="preserve">. No entanto, para o relator, no presente caso, não teria sido apontado o dano efetivo causado à competição pela exigência em questão, em termos de número de participantes do certame, embora </w:t>
      </w:r>
      <w:r w:rsidRPr="00590CA3">
        <w:rPr>
          <w:rFonts w:ascii="Arial" w:eastAsia="Calibri" w:hAnsi="Arial" w:cs="Arial"/>
          <w:i/>
          <w:sz w:val="24"/>
        </w:rPr>
        <w:t>“seja válida a observação de que o dano se reflete principalmente na desistência de prováveis interessados, que é um dado não mensurável”</w:t>
      </w:r>
      <w:r w:rsidRPr="00590CA3">
        <w:rPr>
          <w:rFonts w:ascii="Arial" w:eastAsia="Calibri" w:hAnsi="Arial" w:cs="Arial"/>
          <w:sz w:val="24"/>
        </w:rPr>
        <w:t xml:space="preserve">. Reconhecendo que a obra, pela sua importância e complexidade técnica, demandava cuidados especiais na definição do universo de potenciais licitantes, o relator votou por que fosse tão somente expedida determinação ao Deracre no sentido de que, </w:t>
      </w:r>
      <w:r w:rsidRPr="00590CA3">
        <w:rPr>
          <w:rFonts w:ascii="Arial" w:eastAsia="Calibri" w:hAnsi="Arial" w:cs="Arial"/>
          <w:i/>
          <w:sz w:val="24"/>
        </w:rPr>
        <w:t xml:space="preserve">“ao adotar índices mínimos de liquidez que se afastam dos valores utilizados na administração pública, assim entendidos aqueles próximos à unidade, no caso do Índice de Liquidez Geral, em seus editais de licitação para execução de objetos financiados com recursos federais, proceda a ampla demonstração </w:t>
      </w:r>
      <w:r w:rsidRPr="00590CA3">
        <w:rPr>
          <w:rFonts w:ascii="Arial" w:eastAsia="Calibri" w:hAnsi="Arial" w:cs="Arial"/>
          <w:i/>
          <w:sz w:val="24"/>
        </w:rPr>
        <w:lastRenderedPageBreak/>
        <w:t>do cabimento da escolha, inclusive mediante estudo da realidade das empresas potencialmente interessadas no objeto da licitação”</w:t>
      </w:r>
      <w:r w:rsidRPr="00590CA3">
        <w:rPr>
          <w:rFonts w:ascii="Arial" w:eastAsia="Calibri" w:hAnsi="Arial" w:cs="Arial"/>
          <w:sz w:val="24"/>
        </w:rPr>
        <w:t xml:space="preserve">. O Plenário acolheu o voto do relator. Precedente citado: Acórdão n.º 170/2007-Plenário. </w:t>
      </w:r>
      <w:r w:rsidRPr="00590CA3">
        <w:rPr>
          <w:rFonts w:ascii="Arial" w:eastAsia="Calibri" w:hAnsi="Arial" w:cs="Arial"/>
          <w:b/>
          <w:i/>
          <w:sz w:val="24"/>
        </w:rPr>
        <w:t>Acórdão n.º 3133/2010-Plenário, TC-006.861/2005-8, rel. Min. Augusto Nardes, 24.11.2010</w:t>
      </w:r>
      <w:r w:rsidRPr="00590CA3">
        <w:rPr>
          <w:rFonts w:ascii="Arial" w:eastAsia="Calibri" w:hAnsi="Arial" w:cs="Arial"/>
          <w:sz w:val="24"/>
        </w:rPr>
        <w:t>.</w:t>
      </w:r>
    </w:p>
    <w:p w:rsidR="004B4517" w:rsidRPr="00590CA3" w:rsidRDefault="004B4517" w:rsidP="00633EA3">
      <w:pPr>
        <w:spacing w:before="120" w:after="240" w:line="240" w:lineRule="auto"/>
        <w:jc w:val="both"/>
        <w:rPr>
          <w:rFonts w:ascii="Arial" w:eastAsia="Calibri" w:hAnsi="Arial" w:cs="Arial"/>
          <w:sz w:val="24"/>
        </w:rPr>
      </w:pPr>
    </w:p>
    <w:p w:rsidR="00B21CE2" w:rsidRPr="00590CA3" w:rsidRDefault="00B21CE2"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45.</w:t>
      </w:r>
    </w:p>
    <w:p w:rsidR="00B21CE2" w:rsidRPr="00590CA3" w:rsidRDefault="00B21CE2" w:rsidP="00633EA3">
      <w:pPr>
        <w:spacing w:before="120" w:after="240" w:line="240" w:lineRule="auto"/>
        <w:jc w:val="both"/>
        <w:rPr>
          <w:rFonts w:ascii="Arial" w:eastAsia="Calibri" w:hAnsi="Arial" w:cs="Arial"/>
          <w:sz w:val="28"/>
        </w:rPr>
      </w:pPr>
      <w:r w:rsidRPr="00590CA3">
        <w:rPr>
          <w:rFonts w:ascii="Arial" w:eastAsia="Calibri" w:hAnsi="Arial" w:cs="Arial"/>
          <w:b/>
          <w:sz w:val="28"/>
        </w:rPr>
        <w:t>As contratações diretas amparadas no art. 24, inc. IV, da Lei 8.666/1993 – emergência ou calamidade pública-, podem, excepcionalmente e atendidas determinadas condições, ultrapassar 180 dias</w:t>
      </w:r>
    </w:p>
    <w:p w:rsidR="00B21CE2" w:rsidRPr="00590CA3" w:rsidRDefault="00B21CE2" w:rsidP="001522A7">
      <w:pPr>
        <w:spacing w:before="120" w:after="240" w:line="360" w:lineRule="auto"/>
        <w:jc w:val="both"/>
        <w:rPr>
          <w:rFonts w:ascii="Arial" w:eastAsia="Calibri" w:hAnsi="Arial" w:cs="Arial"/>
          <w:sz w:val="24"/>
        </w:rPr>
      </w:pPr>
      <w:r w:rsidRPr="00590CA3">
        <w:rPr>
          <w:rFonts w:ascii="Arial" w:eastAsia="Calibri" w:hAnsi="Arial" w:cs="Arial"/>
          <w:sz w:val="24"/>
        </w:rPr>
        <w:t>Auditoria foi realizada pelo TCU, com o objetivo de acompanhar as ações governamentais conduzidas pelo Governo do Estado de Pernambuco, para auxiliar a parte do Estado fronteiriça com o Estado de Alagoas no retorno à normalidade, após a ocorrência de intensas e extraordinárias precipitações pluviométricas no final de junho de 2010, as quais levaram o governo pernambucano à decretação de “Situação de Emergência” e “Estado de Calamidade Pública”, nos municípios mais afetados, sendo efetuadas diversas contratações emergenciais, com fulcro no inciso IV do art. 24 da Lei 8.666/93, no bojo da denominada “Operação Reconstrução”. Nesse quadro, o Procurador-Geral daquele Estado encaminhou ofício ao TCU, acompanhado de relatórios de diversas áreas do governo estadual, dando conta de que, “</w:t>
      </w:r>
      <w:r w:rsidRPr="00590CA3">
        <w:rPr>
          <w:rFonts w:ascii="Arial" w:eastAsia="Calibri" w:hAnsi="Arial" w:cs="Arial"/>
          <w:i/>
          <w:sz w:val="24"/>
        </w:rPr>
        <w:t>em relação à situação de emergência verificada em Pernambuco, por ocasião das chuvas, diversos fatores implicaram a impossibilidade de conclusão de todas as obras necessárias à restauração da normalidade dentro do prazo legal de 180 dias</w:t>
      </w:r>
      <w:r w:rsidRPr="00590CA3">
        <w:rPr>
          <w:rFonts w:ascii="Arial" w:eastAsia="Calibri" w:hAnsi="Arial" w:cs="Arial"/>
          <w:sz w:val="24"/>
        </w:rPr>
        <w:t>.”. Foi, então, requerida pelo representante estadual a autorização excepcional para que as contratações emergenciais perdurassem por prazo superior ao limite de 180 dias estabelecido no art. 24, IV, da Lei 8.666/93, bem como a prorrogação dos contratos em vigor pelo prazo necessário à finalização das obras em andamento, à contratação e ao início das demais obras tidas como essenciais. Ao examinar os fatos, o relator destacou, inicialmente, que, “</w:t>
      </w:r>
      <w:r w:rsidRPr="00590CA3">
        <w:rPr>
          <w:rFonts w:ascii="Arial" w:eastAsia="Calibri" w:hAnsi="Arial" w:cs="Arial"/>
          <w:i/>
          <w:sz w:val="24"/>
        </w:rPr>
        <w:t xml:space="preserve">não se insere dentre as atribuições constitucionais desta Corte autorizar os entes e/ou gestores jurisdicionados a efetuar contratações ou realizar aditivos </w:t>
      </w:r>
      <w:r w:rsidRPr="00590CA3">
        <w:rPr>
          <w:rFonts w:ascii="Arial" w:eastAsia="Calibri" w:hAnsi="Arial" w:cs="Arial"/>
          <w:i/>
          <w:sz w:val="24"/>
        </w:rPr>
        <w:lastRenderedPageBreak/>
        <w:t>contratuais, pois essa é prerrogativa dos gestores. Assim, tais atos administrativos se aperfeiçoam independentemente da atuação do TCU</w:t>
      </w:r>
      <w:r w:rsidRPr="00590CA3">
        <w:rPr>
          <w:rFonts w:ascii="Arial" w:eastAsia="Calibri" w:hAnsi="Arial" w:cs="Arial"/>
          <w:sz w:val="24"/>
        </w:rPr>
        <w:t>”. Todavia, enaltecendo a preocupação do governo de Pernambuco em prover, com brevidade, as necessidades da região assolada pelas chuvas, o relator enfatizou se estar diante de situação excepcional. Assim, citando jurisprudência do TCU, destacou que, “</w:t>
      </w:r>
      <w:r w:rsidRPr="00590CA3">
        <w:rPr>
          <w:rFonts w:ascii="Arial" w:eastAsia="Calibri" w:hAnsi="Arial" w:cs="Arial"/>
          <w:i/>
          <w:sz w:val="24"/>
        </w:rPr>
        <w:t>o limite de 180 dias para execução de serviços emergenciais, referido no inciso IV do art. 24 da Lei nº 8.666/1993, pode ser ultrapassado se isso for indispensável para a preservação do bem protegido</w:t>
      </w:r>
      <w:r w:rsidRPr="00590CA3">
        <w:rPr>
          <w:rFonts w:ascii="Arial" w:eastAsia="Calibri" w:hAnsi="Arial" w:cs="Arial"/>
          <w:sz w:val="24"/>
        </w:rPr>
        <w:t>”. No mesmo sentido, quanto à prorrogação dos contratos firmados diretamente com base no mesmo dispositivo, registrou o relator, amparado em jurisprudência do TCU, que “é</w:t>
      </w:r>
      <w:r w:rsidRPr="00590CA3">
        <w:rPr>
          <w:rFonts w:ascii="Arial" w:eastAsia="Calibri" w:hAnsi="Arial" w:cs="Arial"/>
          <w:i/>
          <w:sz w:val="24"/>
        </w:rPr>
        <w:t xml:space="preserve"> possível, em casos excepcionais, firmar termo aditivo para prorrogar contrato oriundo da dispensa de licitação prevista no art. 24, inciso IV, da Lei nº 8.666/1993, por período adicional estritamente necessário à conclusão da obra ou serviço, além do prazo máximo fixado nesse dispositivo legal, desde que essa medida esteja fundamentada na ocorrência de fato excepcional ou imprevisível, estranho à vontade das partes, que impossibilite a execução contratual no tempo inicialmente previsto</w:t>
      </w:r>
      <w:r w:rsidRPr="00590CA3">
        <w:rPr>
          <w:rFonts w:ascii="Arial" w:eastAsia="Calibri" w:hAnsi="Arial" w:cs="Arial"/>
          <w:sz w:val="24"/>
        </w:rPr>
        <w:t>.” Por conseguinte, votou por que se expedisse comunicação ao Governo de Estado de Pernambuco quanto à possibilidade de os contratos firmados com base no art. 24, inc. IV, da Lei 8.666/1993 ultrapassarem o limite de 180 dias contido no dispositivo, desde que cumpridas as condicionantes apontadas, no que contou com a anuência do Plenário. Precedentes citados: Acórdãos n</w:t>
      </w:r>
      <w:r w:rsidRPr="00590CA3">
        <w:rPr>
          <w:rFonts w:ascii="Arial" w:eastAsia="Calibri" w:hAnsi="Arial" w:cs="Arial"/>
          <w:sz w:val="24"/>
          <w:u w:val="single"/>
          <w:vertAlign w:val="superscript"/>
        </w:rPr>
        <w:t>os</w:t>
      </w:r>
      <w:r w:rsidRPr="00590CA3">
        <w:rPr>
          <w:rFonts w:ascii="Arial" w:eastAsia="Calibri" w:hAnsi="Arial" w:cs="Arial"/>
          <w:sz w:val="24"/>
        </w:rPr>
        <w:t xml:space="preserve"> 845/2004 e 1941/2007, ambos do Plenário. </w:t>
      </w:r>
      <w:r w:rsidRPr="00590CA3">
        <w:rPr>
          <w:rFonts w:ascii="Arial" w:eastAsia="Calibri" w:hAnsi="Arial" w:cs="Arial"/>
          <w:b/>
          <w:i/>
          <w:sz w:val="24"/>
        </w:rPr>
        <w:t>Acórdão n.º 3238/2010-Plenário, TC-019.362/2010-2, rel. Min. Benjamin Zymler, 01.12.2010</w:t>
      </w:r>
      <w:r w:rsidRPr="00590CA3">
        <w:rPr>
          <w:rFonts w:ascii="Arial" w:eastAsia="Calibri" w:hAnsi="Arial" w:cs="Arial"/>
          <w:sz w:val="24"/>
        </w:rPr>
        <w:t>.</w:t>
      </w:r>
    </w:p>
    <w:p w:rsidR="00B21CE2" w:rsidRPr="00590CA3" w:rsidRDefault="00B21CE2" w:rsidP="00633EA3">
      <w:pPr>
        <w:spacing w:before="120" w:after="240" w:line="240" w:lineRule="auto"/>
        <w:jc w:val="both"/>
        <w:rPr>
          <w:rFonts w:ascii="Arial" w:eastAsia="Calibri" w:hAnsi="Arial" w:cs="Arial"/>
          <w:sz w:val="24"/>
        </w:rPr>
      </w:pPr>
    </w:p>
    <w:p w:rsidR="00B21CE2" w:rsidRPr="00590CA3" w:rsidRDefault="00B21CE2"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46.</w:t>
      </w:r>
    </w:p>
    <w:p w:rsidR="00B21CE2" w:rsidRPr="00590CA3" w:rsidRDefault="00B21CE2" w:rsidP="00633EA3">
      <w:pPr>
        <w:spacing w:before="120" w:after="240" w:line="240" w:lineRule="auto"/>
        <w:jc w:val="both"/>
        <w:rPr>
          <w:rFonts w:ascii="Arial" w:eastAsia="Calibri" w:hAnsi="Arial" w:cs="Arial"/>
          <w:b/>
          <w:sz w:val="28"/>
        </w:rPr>
      </w:pPr>
      <w:r w:rsidRPr="00590CA3">
        <w:rPr>
          <w:rFonts w:ascii="Arial" w:eastAsia="Calibri" w:hAnsi="Arial" w:cs="Arial"/>
          <w:b/>
          <w:sz w:val="28"/>
        </w:rPr>
        <w:t>Alteração contratual sem caracterização do “jogo de planilha”: presunção relativa de desequilíbrio econômico-financeiro do contrato</w:t>
      </w:r>
    </w:p>
    <w:p w:rsidR="00B21CE2" w:rsidRPr="000F2D4B" w:rsidRDefault="00B21CE2" w:rsidP="001522A7">
      <w:pPr>
        <w:spacing w:before="120" w:after="240" w:line="360" w:lineRule="auto"/>
        <w:jc w:val="both"/>
        <w:rPr>
          <w:rFonts w:ascii="Arial" w:eastAsia="Calibri" w:hAnsi="Arial" w:cs="Arial"/>
          <w:sz w:val="24"/>
        </w:rPr>
      </w:pPr>
      <w:r w:rsidRPr="00590CA3">
        <w:rPr>
          <w:rFonts w:ascii="Arial" w:eastAsia="Calibri" w:hAnsi="Arial" w:cs="Arial"/>
          <w:sz w:val="24"/>
        </w:rPr>
        <w:t>Em sede de processo de representação, foram noticiadas possíveis irregularidades em obras de asfaltamento da BR-101, situadas entre as localidades de Estreito e Bujurú, e nas obras relativas ao trecho Bujurú-</w:t>
      </w:r>
      <w:r w:rsidRPr="00590CA3">
        <w:rPr>
          <w:rFonts w:ascii="Arial" w:eastAsia="Calibri" w:hAnsi="Arial" w:cs="Arial"/>
          <w:sz w:val="24"/>
        </w:rPr>
        <w:lastRenderedPageBreak/>
        <w:t>Tavares. De acordo com a unidade instrutiva, a modificação efetuada pelos termos aditivos representaria prejuízo para a Administração, pois retirara da proposta da empresa contratada a vantagem comparativa que lhe assegurou a vitória no procedimento licitatório. Para a unidade técnica, com a supressão ou redução de quantitativos de itens com preços unitários que seriam favoráveis à Administração, teriam sobressaído, com maior preço relativo na planilha orçamentária, itens com custos unitários mais onerosos aos cofres públicos, o que tornaria patente o desequilíbrio da relação contratual em detrimento da Administração. Essa realidade implicaria a perda da vantagem comparativa da proposta da licitante, que deixaria de ser a melhor classificada em relação aos outros concorrentes. No voto, o relator destacou que “</w:t>
      </w:r>
      <w:r w:rsidRPr="00590CA3">
        <w:rPr>
          <w:rFonts w:ascii="Arial" w:eastAsia="Calibri" w:hAnsi="Arial" w:cs="Arial"/>
          <w:i/>
          <w:sz w:val="24"/>
        </w:rPr>
        <w:t>o jogo de planilha se concretiza por meio de aditivos contratuais em que se verifique a ocorrência de ato culposo ou doloso do agente público prejudicial ao erário</w:t>
      </w:r>
      <w:r w:rsidRPr="00590CA3">
        <w:rPr>
          <w:rFonts w:ascii="Arial" w:eastAsia="Calibri" w:hAnsi="Arial" w:cs="Arial"/>
          <w:sz w:val="24"/>
        </w:rPr>
        <w:t>”. Todavia, haveria situações em que “</w:t>
      </w:r>
      <w:r w:rsidRPr="00590CA3">
        <w:rPr>
          <w:rFonts w:ascii="Arial" w:eastAsia="Calibri" w:hAnsi="Arial" w:cs="Arial"/>
          <w:i/>
          <w:sz w:val="24"/>
        </w:rPr>
        <w:t>as modificações contratuais são tecnicamente justificáveis e necessárias, realizadas para promover o interesse público e não para proporcionar ganhos ilegítimos para a contratada</w:t>
      </w:r>
      <w:r w:rsidRPr="00590CA3">
        <w:rPr>
          <w:rFonts w:ascii="Arial" w:eastAsia="Calibri" w:hAnsi="Arial" w:cs="Arial"/>
          <w:sz w:val="24"/>
        </w:rPr>
        <w:t>”. Na espécie, as modificações contratuais seriam justificáveis tecnicamente, estando devidamente fundamentadas. Não teriam sido evidenciados, nos autos, “</w:t>
      </w:r>
      <w:r w:rsidRPr="00590CA3">
        <w:rPr>
          <w:rFonts w:ascii="Arial" w:eastAsia="Calibri" w:hAnsi="Arial" w:cs="Arial"/>
          <w:i/>
          <w:sz w:val="24"/>
        </w:rPr>
        <w:t>intuitos, atos ou procedimentos visando, mediante ardil ou qualquer subterfúgio urdido pelas partes, alterar, em favor da contratada, as condições econômico-financeiras originalmente estabelecidas</w:t>
      </w:r>
      <w:r w:rsidRPr="00590CA3">
        <w:rPr>
          <w:rFonts w:ascii="Arial" w:eastAsia="Calibri" w:hAnsi="Arial" w:cs="Arial"/>
          <w:sz w:val="24"/>
        </w:rPr>
        <w:t>”. Não teria ocorrido, em consequência, a prática condenável do “jogo de planilhas”, apesar de “</w:t>
      </w:r>
      <w:r w:rsidRPr="00590CA3">
        <w:rPr>
          <w:rFonts w:ascii="Arial" w:eastAsia="Calibri" w:hAnsi="Arial" w:cs="Arial"/>
          <w:i/>
          <w:sz w:val="24"/>
        </w:rPr>
        <w:t>evidenciado que as modificações procedidas podem ter favorecido a contratada</w:t>
      </w:r>
      <w:r w:rsidRPr="00590CA3">
        <w:rPr>
          <w:rFonts w:ascii="Arial" w:eastAsia="Calibri" w:hAnsi="Arial" w:cs="Arial"/>
          <w:sz w:val="24"/>
        </w:rPr>
        <w:t>”. Restaria apurar, então, “</w:t>
      </w:r>
      <w:r w:rsidRPr="00590CA3">
        <w:rPr>
          <w:rFonts w:ascii="Arial" w:eastAsia="Calibri" w:hAnsi="Arial" w:cs="Arial"/>
          <w:i/>
          <w:sz w:val="24"/>
        </w:rPr>
        <w:t>se alterações promovidas pela Administração, no interesse público, legítimas, e que resultem favoráveis à contratada, como as que aqui se discute, sempre teriam o condão de obrigar as partes à revisão das cláusulas econômico-financeiras do contrato para que se mantivesse o equilíbrio contratual inicialmente pactuado, com base no art. 58, § 2º, da Lei nº 8.666/1993</w:t>
      </w:r>
      <w:r w:rsidRPr="00590CA3">
        <w:rPr>
          <w:rFonts w:ascii="Arial" w:eastAsia="Calibri" w:hAnsi="Arial" w:cs="Arial"/>
          <w:sz w:val="24"/>
        </w:rPr>
        <w:t>”. A esse respeito, o relator, com base em julgado proferido pelo Tribunal, destacou que “</w:t>
      </w:r>
      <w:r w:rsidRPr="00590CA3">
        <w:rPr>
          <w:rFonts w:ascii="Arial" w:eastAsia="Calibri" w:hAnsi="Arial" w:cs="Arial"/>
          <w:i/>
          <w:sz w:val="24"/>
        </w:rPr>
        <w:t xml:space="preserve">a aferição da eventual redução ou supressão do desconto sobre o orçamento-base, após alterações contratuais, gera a presunção de possível desequilíbrio econômico-financeiro, a ser completa e cabalmente confirmado ou refutado pela Administração, oferecendo-se ampla oportunidade de manifestação da contratada </w:t>
      </w:r>
      <w:r w:rsidRPr="00590CA3">
        <w:rPr>
          <w:rFonts w:ascii="Arial" w:eastAsia="Calibri" w:hAnsi="Arial" w:cs="Arial"/>
          <w:sz w:val="24"/>
        </w:rPr>
        <w:t xml:space="preserve">(...) </w:t>
      </w:r>
      <w:r w:rsidRPr="00590CA3">
        <w:rPr>
          <w:rFonts w:ascii="Arial" w:eastAsia="Calibri" w:hAnsi="Arial" w:cs="Arial"/>
          <w:i/>
          <w:sz w:val="24"/>
        </w:rPr>
        <w:t xml:space="preserve">Se da modificação supressiva ou redutiva, tecnicamente </w:t>
      </w:r>
      <w:r w:rsidRPr="00590CA3">
        <w:rPr>
          <w:rFonts w:ascii="Arial" w:eastAsia="Calibri" w:hAnsi="Arial" w:cs="Arial"/>
          <w:i/>
          <w:sz w:val="24"/>
        </w:rPr>
        <w:lastRenderedPageBreak/>
        <w:t>justificável, resultar nova configuração de proposta que, à época da licitação, não seria a mais economicamente vantajosa, esse fato não constitui motivo suficiente para impor, direta e imediatamente, ônus à empresa contratada resultante dessa alteração. Isso servirá apenas como presunção relativa do desequilíbrio, a ser cabalmente examinada”</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No presente caso, além de tecnicamente justificada, a própria unidade técnica, na opinião do relator, concluiu que "</w:t>
      </w:r>
      <w:r w:rsidRPr="00590CA3">
        <w:rPr>
          <w:rFonts w:ascii="Arial" w:eastAsia="Calibri" w:hAnsi="Arial" w:cs="Arial"/>
          <w:i/>
          <w:sz w:val="24"/>
        </w:rPr>
        <w:t>a revisão de projeto determinada por este Tribunal mostrou-se tecnicamente vantajosa ao permitir a execução da obra sem as habituais paralisações para a solução de problemas decorrentes de falhas de projeto, fato quase inédito no DNIT</w:t>
      </w:r>
      <w:r w:rsidRPr="00590CA3">
        <w:rPr>
          <w:rFonts w:ascii="Arial" w:eastAsia="Calibri" w:hAnsi="Arial" w:cs="Arial"/>
          <w:sz w:val="24"/>
        </w:rPr>
        <w:t>". Assim, as alterações contratuais, no contexto, não poderiam obrigar à revisão das cláusulas econômico-financeiras do contrato para suprimir potencial ganho proporcionado à contratada na execução por decisões unilaterais da Administração. Com os fundamentos apontados, o relator propôs, em consequência, a improcedência da representação, o que foi aprovado pelo colegiado. Precedente citado: Acórdão nº 1755/2004, do Plenário.</w:t>
      </w:r>
      <w:r w:rsidRPr="00590CA3">
        <w:rPr>
          <w:rFonts w:ascii="Arial" w:eastAsia="Calibri" w:hAnsi="Arial" w:cs="Arial"/>
          <w:b/>
          <w:sz w:val="24"/>
        </w:rPr>
        <w:t xml:space="preserve"> </w:t>
      </w:r>
      <w:r w:rsidRPr="00590CA3">
        <w:rPr>
          <w:rFonts w:ascii="Arial" w:eastAsia="Calibri" w:hAnsi="Arial" w:cs="Arial"/>
          <w:b/>
          <w:i/>
          <w:sz w:val="24"/>
        </w:rPr>
        <w:t xml:space="preserve">Acórdão n.º 8366/2010-Plenário, TC-020.201/2005-7, rel. </w:t>
      </w:r>
      <w:r w:rsidRPr="000F2D4B">
        <w:rPr>
          <w:rFonts w:ascii="Arial" w:eastAsia="Calibri" w:hAnsi="Arial" w:cs="Arial"/>
          <w:b/>
          <w:i/>
          <w:sz w:val="24"/>
        </w:rPr>
        <w:t>Min-Subst. Weder de Oliveira, 07.12.2010</w:t>
      </w:r>
      <w:r w:rsidRPr="000F2D4B">
        <w:rPr>
          <w:rFonts w:ascii="Arial" w:eastAsia="Calibri" w:hAnsi="Arial" w:cs="Arial"/>
          <w:sz w:val="24"/>
        </w:rPr>
        <w:t>.</w:t>
      </w:r>
    </w:p>
    <w:p w:rsidR="004B4517" w:rsidRPr="000F2D4B" w:rsidRDefault="004B4517" w:rsidP="00633EA3">
      <w:pPr>
        <w:spacing w:before="120" w:after="240" w:line="240" w:lineRule="auto"/>
        <w:jc w:val="both"/>
        <w:rPr>
          <w:rFonts w:ascii="Arial" w:eastAsia="Calibri" w:hAnsi="Arial" w:cs="Arial"/>
          <w:sz w:val="24"/>
        </w:rPr>
      </w:pPr>
    </w:p>
    <w:p w:rsidR="00B21CE2" w:rsidRPr="00590CA3" w:rsidRDefault="00B21CE2" w:rsidP="00633EA3">
      <w:pPr>
        <w:spacing w:before="120" w:after="240" w:line="240" w:lineRule="auto"/>
        <w:jc w:val="center"/>
        <w:rPr>
          <w:rFonts w:ascii="Arial" w:eastAsia="Calibri" w:hAnsi="Arial" w:cs="Arial"/>
          <w:b/>
          <w:sz w:val="32"/>
        </w:rPr>
      </w:pPr>
      <w:r w:rsidRPr="00590CA3">
        <w:rPr>
          <w:rFonts w:ascii="Arial" w:eastAsia="Calibri" w:hAnsi="Arial" w:cs="Arial"/>
          <w:b/>
          <w:sz w:val="32"/>
        </w:rPr>
        <w:t>49.</w:t>
      </w:r>
    </w:p>
    <w:p w:rsidR="00B21CE2" w:rsidRPr="00590CA3" w:rsidRDefault="00B21CE2" w:rsidP="00633EA3">
      <w:pPr>
        <w:spacing w:before="120" w:after="240" w:line="240" w:lineRule="auto"/>
        <w:jc w:val="both"/>
        <w:rPr>
          <w:rFonts w:ascii="Arial" w:eastAsia="Calibri" w:hAnsi="Arial" w:cs="Arial"/>
          <w:b/>
          <w:sz w:val="28"/>
        </w:rPr>
      </w:pPr>
      <w:r w:rsidRPr="00590CA3">
        <w:rPr>
          <w:rFonts w:ascii="Arial" w:eastAsia="Calibri" w:hAnsi="Arial" w:cs="Arial"/>
          <w:b/>
          <w:sz w:val="28"/>
        </w:rPr>
        <w:t>Eventual desproporção na pontuação atribuída aos critérios de técnica e de preço deve ser justificada</w:t>
      </w:r>
    </w:p>
    <w:p w:rsidR="00B21CE2" w:rsidRPr="00590CA3" w:rsidRDefault="00B21CE2" w:rsidP="001522A7">
      <w:pPr>
        <w:spacing w:before="120" w:after="240" w:line="360" w:lineRule="auto"/>
        <w:jc w:val="both"/>
        <w:rPr>
          <w:rFonts w:ascii="Arial" w:eastAsia="Calibri" w:hAnsi="Arial" w:cs="Arial"/>
          <w:sz w:val="24"/>
        </w:rPr>
      </w:pPr>
      <w:r w:rsidRPr="00590CA3">
        <w:rPr>
          <w:rFonts w:ascii="Arial" w:eastAsia="Calibri" w:hAnsi="Arial" w:cs="Arial"/>
          <w:sz w:val="24"/>
        </w:rPr>
        <w:t>Representação de licitante indicou ao Tribunal supostas irregularidades na Concorrência nº 2/2010, do tipo técnica e preço, conduzida pela Universidade Federal de São Paulo – (Unifesp),  cujo objeto consistiu na contratação de empresa prestadora de serviços de planejamento, implementação e gerenciamento de assessoria de imprensa especializada nas áreas de educação, saúde e administração de crise. Dentre elas, constou a desproporcionalidade das faixas de pontuação utilizadas para valoração da proposta técnica, sem justificativas para tanto, em aparente desconformidade com a jurisprudência deste Tribunal. A esse respeito, a unidade técnica consignou que “</w:t>
      </w:r>
      <w:r w:rsidRPr="00590CA3">
        <w:rPr>
          <w:rFonts w:ascii="Arial" w:eastAsia="Calibri" w:hAnsi="Arial" w:cs="Arial"/>
          <w:i/>
          <w:sz w:val="24"/>
        </w:rPr>
        <w:t xml:space="preserve">foi atribuído o peso de 80 à proposta técnica e apenas de 20 à proposta de preços, o que caracteriza a excessiva valorização da primeira em </w:t>
      </w:r>
      <w:r w:rsidRPr="00590CA3">
        <w:rPr>
          <w:rFonts w:ascii="Arial" w:eastAsia="Calibri" w:hAnsi="Arial" w:cs="Arial"/>
          <w:i/>
          <w:sz w:val="24"/>
        </w:rPr>
        <w:lastRenderedPageBreak/>
        <w:t>detrimento da segunda”.</w:t>
      </w:r>
      <w:r w:rsidRPr="00590CA3">
        <w:rPr>
          <w:rFonts w:ascii="Arial" w:eastAsia="Calibri" w:hAnsi="Arial" w:cs="Arial"/>
          <w:sz w:val="24"/>
        </w:rPr>
        <w:t xml:space="preserve"> Reproduziu, então, trecho do Acórdão nº 1488/2009, do Plenário do Tribunal, no qual se apreciou irregularidades na condução de licitação com objeto assemelhado. Na oportunidade, o TCU concluiu que em situações nas quais houver diferenciação entre os pesos atribuídos ao critério de técnica e o critério preço, deve a instituição contratante fundamentar o fato, com base em “</w:t>
      </w:r>
      <w:r w:rsidRPr="00590CA3">
        <w:rPr>
          <w:rFonts w:ascii="Arial" w:eastAsia="Calibri" w:hAnsi="Arial" w:cs="Arial"/>
          <w:i/>
          <w:sz w:val="24"/>
        </w:rPr>
        <w:t>estudo demonstrando que a grande disparidade verificada (a nota técnica tem peso superior ao dobro da proposta de preços) é justificável</w:t>
      </w:r>
      <w:r w:rsidRPr="00590CA3">
        <w:rPr>
          <w:rFonts w:ascii="Arial" w:eastAsia="Calibri" w:hAnsi="Arial" w:cs="Arial"/>
          <w:sz w:val="24"/>
        </w:rPr>
        <w:t>”. Assim, ainda para a unidade técnica,</w:t>
      </w:r>
      <w:r w:rsidRPr="00590CA3">
        <w:rPr>
          <w:rFonts w:ascii="Arial" w:eastAsia="Calibri" w:hAnsi="Arial" w:cs="Arial"/>
          <w:i/>
          <w:sz w:val="24"/>
        </w:rPr>
        <w:t xml:space="preserve"> </w:t>
      </w:r>
      <w:r w:rsidRPr="00590CA3">
        <w:rPr>
          <w:rFonts w:ascii="Arial" w:eastAsia="Calibri" w:hAnsi="Arial" w:cs="Arial"/>
          <w:sz w:val="24"/>
        </w:rPr>
        <w:t>“</w:t>
      </w:r>
      <w:r w:rsidRPr="00590CA3">
        <w:rPr>
          <w:rFonts w:ascii="Arial" w:eastAsia="Calibri" w:hAnsi="Arial" w:cs="Arial"/>
          <w:i/>
          <w:sz w:val="24"/>
        </w:rPr>
        <w:t>a atribuição de fatores de ponderação distintos para os índices técnica e preço somente deve ocorrer em situações ainda mais excepcionais, devidamente comprovadas, o que não ocorreu nos presentes autos</w:t>
      </w:r>
      <w:r w:rsidRPr="00590CA3">
        <w:rPr>
          <w:rFonts w:ascii="Arial" w:eastAsia="Calibri" w:hAnsi="Arial" w:cs="Arial"/>
          <w:sz w:val="24"/>
        </w:rPr>
        <w:t>”</w:t>
      </w:r>
      <w:r w:rsidRPr="00590CA3">
        <w:rPr>
          <w:rFonts w:ascii="Arial" w:eastAsia="Calibri" w:hAnsi="Arial" w:cs="Arial"/>
          <w:i/>
          <w:sz w:val="24"/>
        </w:rPr>
        <w:t>.</w:t>
      </w:r>
      <w:r w:rsidRPr="00590CA3">
        <w:rPr>
          <w:rFonts w:ascii="Arial" w:eastAsia="Calibri" w:hAnsi="Arial" w:cs="Arial"/>
          <w:sz w:val="24"/>
        </w:rPr>
        <w:t xml:space="preserve"> Destacou, ainda, disposição constante da Instrução Normativa 2/2008, da SLTI/MPOG no mesmo sentido (§ 3º do art. 3º). Ao concordar com as análises, o relator destacou que “</w:t>
      </w:r>
      <w:r w:rsidRPr="00590CA3">
        <w:rPr>
          <w:rFonts w:ascii="Arial" w:eastAsia="Calibri" w:hAnsi="Arial" w:cs="Arial"/>
          <w:i/>
          <w:sz w:val="24"/>
        </w:rPr>
        <w:t>o privilégio excessivo da técnica em detrimento do preço, sem haver justificativas suficientes que demonstrem a sua necessidade, pode resultar em contratação a preços desvantajosos para a Administração</w:t>
      </w:r>
      <w:r w:rsidRPr="00590CA3">
        <w:rPr>
          <w:rFonts w:ascii="Arial" w:eastAsia="Calibri" w:hAnsi="Arial" w:cs="Arial"/>
          <w:sz w:val="24"/>
        </w:rPr>
        <w:t>”. Todavia, apesar da reprovabilidade da conduta, considerou o relator que houve a perda do objeto da representação, ante a alteração dos critérios do edital do certame, bem como, posteriormente, em face da anulação de ofício do certame pela Unifesp, conclusão acatada pelo relator e pelo Plenário. Precedentes citados: Acórdãos TCU n</w:t>
      </w:r>
      <w:r w:rsidRPr="00590CA3">
        <w:rPr>
          <w:rFonts w:ascii="Arial" w:eastAsia="Calibri" w:hAnsi="Arial" w:cs="Arial"/>
          <w:sz w:val="24"/>
          <w:u w:val="single"/>
          <w:vertAlign w:val="superscript"/>
        </w:rPr>
        <w:t>os</w:t>
      </w:r>
      <w:r w:rsidRPr="00590CA3">
        <w:rPr>
          <w:rFonts w:ascii="Arial" w:eastAsia="Calibri" w:hAnsi="Arial" w:cs="Arial"/>
          <w:sz w:val="24"/>
        </w:rPr>
        <w:t xml:space="preserve"> 264/2006 e 55/2007, ambos do Plenário.  </w:t>
      </w:r>
      <w:r w:rsidRPr="00590CA3">
        <w:rPr>
          <w:rFonts w:ascii="Arial" w:eastAsia="Calibri" w:hAnsi="Arial" w:cs="Arial"/>
          <w:b/>
          <w:i/>
          <w:sz w:val="24"/>
        </w:rPr>
        <w:t xml:space="preserve">Acórdão n.º 210/2011-Plenário, TC-017.157/2010-2, rel. Min. Augusto Nardes, 02.02.2011. </w:t>
      </w:r>
    </w:p>
    <w:p w:rsidR="00B21CE2" w:rsidRPr="00590CA3" w:rsidRDefault="00B21CE2" w:rsidP="00633EA3">
      <w:pPr>
        <w:spacing w:before="120" w:after="240" w:line="240" w:lineRule="auto"/>
        <w:jc w:val="both"/>
        <w:rPr>
          <w:rFonts w:ascii="Arial" w:eastAsia="Calibri" w:hAnsi="Arial" w:cs="Arial"/>
          <w:b/>
          <w:sz w:val="24"/>
        </w:rPr>
      </w:pPr>
    </w:p>
    <w:p w:rsidR="00B21CE2" w:rsidRPr="00590CA3" w:rsidRDefault="00B21CE2" w:rsidP="00633EA3">
      <w:pPr>
        <w:spacing w:before="120" w:after="240" w:line="240" w:lineRule="auto"/>
        <w:jc w:val="both"/>
        <w:rPr>
          <w:rFonts w:ascii="Arial" w:eastAsia="Calibri" w:hAnsi="Arial" w:cs="Arial"/>
          <w:b/>
          <w:sz w:val="28"/>
        </w:rPr>
      </w:pPr>
      <w:r w:rsidRPr="00590CA3">
        <w:rPr>
          <w:rFonts w:ascii="Arial" w:eastAsia="Calibri" w:hAnsi="Arial" w:cs="Arial"/>
          <w:b/>
          <w:sz w:val="28"/>
        </w:rPr>
        <w:t>Não é admitida a utilização de critério técnico baseado, unicamente, em experiência anterior do licitante</w:t>
      </w:r>
    </w:p>
    <w:p w:rsidR="00B21CE2" w:rsidRPr="00590CA3" w:rsidRDefault="00B21CE2" w:rsidP="001522A7">
      <w:pPr>
        <w:spacing w:before="120" w:after="240" w:line="360" w:lineRule="auto"/>
        <w:jc w:val="both"/>
        <w:rPr>
          <w:rFonts w:ascii="Arial" w:eastAsia="Calibri" w:hAnsi="Arial" w:cs="Arial"/>
          <w:sz w:val="24"/>
        </w:rPr>
      </w:pPr>
      <w:r w:rsidRPr="00590CA3">
        <w:rPr>
          <w:rFonts w:ascii="Arial" w:eastAsia="Calibri" w:hAnsi="Arial" w:cs="Arial"/>
          <w:sz w:val="24"/>
        </w:rPr>
        <w:t xml:space="preserve">Ainda na representação que indicou ao Tribunal supostas irregularidades na Concorrência nº 2/2010, conduzida pela Universidade Federal de São Paulo – (Unifesp), outra suposta irregularidade apontada foi a utilização de critério baseado, unicamente, em experiência anterior do licitante, para atribuição da pontuação técnica, o que, na visão da representante, poderia acarretar restrição à competitividade do certame, por criar situação diferenciada para empresas com idênticas condições de executar o objeto. Ao examinar a matéria, o relator registrou o entendimento contrário do TCU à tal exigência, a </w:t>
      </w:r>
      <w:r w:rsidRPr="00590CA3">
        <w:rPr>
          <w:rFonts w:ascii="Arial" w:eastAsia="Calibri" w:hAnsi="Arial" w:cs="Arial"/>
          <w:sz w:val="24"/>
        </w:rPr>
        <w:lastRenderedPageBreak/>
        <w:t>partir de excerto extraído do voto condutor do Acórdão nº 653/2007-Plenário, no qual o Tribunal consignou que, “</w:t>
      </w:r>
      <w:r w:rsidRPr="00590CA3">
        <w:rPr>
          <w:rFonts w:ascii="Arial" w:eastAsia="Calibri" w:hAnsi="Arial" w:cs="Arial"/>
          <w:i/>
          <w:sz w:val="24"/>
        </w:rPr>
        <w:t>no que tange mais especificamente à exigência de comprovação de tempo de experiência dos profissionais a serem disponibilizados pelo licitante, impende frisar que tal procedimento afronta o disposto no art. 3º, § 5º, da Lei nº 8.666/1993, bem como a jurisprudência do TCU, em especial os Acórdãos nºs 1529/2006-Plenário, 473/2004-Plenário, e Decisão nº 134/2001-Plenário</w:t>
      </w:r>
      <w:r w:rsidRPr="00590CA3">
        <w:rPr>
          <w:rFonts w:ascii="Arial" w:eastAsia="Calibri" w:hAnsi="Arial" w:cs="Arial"/>
          <w:sz w:val="24"/>
        </w:rPr>
        <w:t>”</w:t>
      </w:r>
      <w:r w:rsidRPr="00590CA3">
        <w:rPr>
          <w:rFonts w:ascii="Arial" w:eastAsia="Calibri" w:hAnsi="Arial" w:cs="Arial"/>
          <w:i/>
          <w:sz w:val="24"/>
        </w:rPr>
        <w:t xml:space="preserve">. </w:t>
      </w:r>
      <w:r w:rsidRPr="00590CA3">
        <w:rPr>
          <w:rFonts w:ascii="Arial" w:eastAsia="Calibri" w:hAnsi="Arial" w:cs="Arial"/>
          <w:sz w:val="24"/>
        </w:rPr>
        <w:t>Ainda para o relator, tais requisitos poderiam ser aceitáveis, como critérios de pontuação, desde que se mostrassem imprescindíveis à execução do objeto e estivessem acompanhados de expressa justificativa técnica nos autos do processo de licitação, o que, na espécie, não ocorrera. Todavia, apesar da reprovabilidade da conduta, considerou o relator que houve a perda do objeto da representação, ante a alteração dos critérios do edital do certame, bem como, posteriormente, em face da anulação de ofício do certame pela Unifesp, conclusão acatada pelo relator e pelo Plenário. Precedente citados: Acórdão TCU n</w:t>
      </w:r>
      <w:r w:rsidRPr="00590CA3">
        <w:rPr>
          <w:rFonts w:ascii="Arial" w:eastAsia="Calibri" w:hAnsi="Arial" w:cs="Arial"/>
          <w:sz w:val="24"/>
          <w:u w:val="single"/>
          <w:vertAlign w:val="superscript"/>
        </w:rPr>
        <w:t>o</w:t>
      </w:r>
      <w:r w:rsidRPr="00590CA3">
        <w:rPr>
          <w:rFonts w:ascii="Arial" w:eastAsia="Calibri" w:hAnsi="Arial" w:cs="Arial"/>
          <w:sz w:val="24"/>
        </w:rPr>
        <w:t xml:space="preserve"> 264/2006, do Plenário.  </w:t>
      </w:r>
      <w:r w:rsidRPr="00590CA3">
        <w:rPr>
          <w:rFonts w:ascii="Arial" w:eastAsia="Calibri" w:hAnsi="Arial" w:cs="Arial"/>
          <w:b/>
          <w:i/>
          <w:sz w:val="24"/>
        </w:rPr>
        <w:t xml:space="preserve">Acórdão n.º 210/2011-Plenário, TC-017.157/2010-2, rel. Min. Augusto Nardes, 02.02.2011. </w:t>
      </w:r>
    </w:p>
    <w:p w:rsidR="00B21CE2" w:rsidRDefault="000F2D4B" w:rsidP="000F2D4B">
      <w:pPr>
        <w:spacing w:before="120" w:after="240" w:line="240" w:lineRule="auto"/>
        <w:jc w:val="center"/>
        <w:rPr>
          <w:rFonts w:ascii="Arial" w:eastAsia="Calibri" w:hAnsi="Arial" w:cs="Arial"/>
          <w:b/>
          <w:sz w:val="32"/>
        </w:rPr>
      </w:pPr>
      <w:r w:rsidRPr="000F2D4B">
        <w:rPr>
          <w:rFonts w:ascii="Arial" w:eastAsia="Calibri" w:hAnsi="Arial" w:cs="Arial"/>
          <w:b/>
          <w:sz w:val="32"/>
        </w:rPr>
        <w:t>53</w:t>
      </w:r>
      <w:r>
        <w:rPr>
          <w:rFonts w:ascii="Arial" w:eastAsia="Calibri" w:hAnsi="Arial" w:cs="Arial"/>
          <w:b/>
          <w:sz w:val="32"/>
        </w:rPr>
        <w:t>.</w:t>
      </w:r>
    </w:p>
    <w:p w:rsidR="000F2D4B" w:rsidRPr="000F2D4B" w:rsidRDefault="000F2D4B" w:rsidP="000F2D4B">
      <w:pPr>
        <w:spacing w:before="120" w:after="240" w:line="240" w:lineRule="auto"/>
        <w:jc w:val="center"/>
        <w:rPr>
          <w:rFonts w:ascii="Arial" w:eastAsia="Calibri" w:hAnsi="Arial" w:cs="Arial"/>
          <w:b/>
          <w:bCs/>
          <w:sz w:val="32"/>
        </w:rPr>
      </w:pPr>
    </w:p>
    <w:p w:rsidR="000F2D4B" w:rsidRPr="000F2D4B" w:rsidRDefault="000F2D4B" w:rsidP="0093109F">
      <w:pPr>
        <w:spacing w:before="120" w:after="240" w:line="240" w:lineRule="auto"/>
        <w:jc w:val="both"/>
        <w:rPr>
          <w:rFonts w:ascii="Arial" w:eastAsia="Calibri" w:hAnsi="Arial" w:cs="Arial"/>
          <w:b/>
          <w:sz w:val="28"/>
        </w:rPr>
      </w:pPr>
      <w:r w:rsidRPr="000F2D4B">
        <w:rPr>
          <w:rFonts w:ascii="Arial" w:eastAsia="Calibri" w:hAnsi="Arial" w:cs="Arial"/>
          <w:b/>
          <w:sz w:val="28"/>
        </w:rPr>
        <w:t>O regime de empreitada por preço global é compatível com a realização de medições mensais, para o pagamento de serviços executados</w:t>
      </w:r>
    </w:p>
    <w:p w:rsidR="000F2D4B" w:rsidRPr="000F2D4B" w:rsidRDefault="000F2D4B" w:rsidP="000F2D4B">
      <w:pPr>
        <w:spacing w:before="120" w:after="240" w:line="360" w:lineRule="auto"/>
        <w:jc w:val="both"/>
        <w:rPr>
          <w:rFonts w:ascii="Arial" w:eastAsia="Calibri" w:hAnsi="Arial" w:cs="Arial"/>
          <w:sz w:val="24"/>
        </w:rPr>
      </w:pPr>
      <w:r w:rsidRPr="000F2D4B">
        <w:rPr>
          <w:rFonts w:ascii="Arial" w:eastAsia="Calibri" w:hAnsi="Arial" w:cs="Arial"/>
          <w:sz w:val="24"/>
        </w:rPr>
        <w:t xml:space="preserve">O TCU, mediante representação, examinou possíveis irregularidades na Concorrência nº 172/2010, levada à efeito pelo Serviço Social da Indústria – Departamento Regional no Espírito Santo – (Sesi/DR-ES) e destinada à contratação de empresa para construção do Centro Integrado do Sesi/Senai na cidade de Anchieta/ES. Dentre tais irregularidades, constou a previsão da realização de medições mensais dos serviços executados, o que seria, aparentemente, incompatível com o regime de empreitada por preço global, implicitamente adotado no certame, para o qual as medições deveriam ser efetuadas por eventos, no entender da unidade instrutiva. Para o relator, todavia, não haveria incompatibilidade entre tal regime e a feitura de medições, </w:t>
      </w:r>
      <w:r w:rsidRPr="000F2D4B">
        <w:rPr>
          <w:rFonts w:ascii="Arial" w:eastAsia="Calibri" w:hAnsi="Arial" w:cs="Arial"/>
          <w:sz w:val="24"/>
        </w:rPr>
        <w:lastRenderedPageBreak/>
        <w:t xml:space="preserve">conforme jurisprudência do próprio TCU. Segundo ele, “as medições – que podem até ser mensais – são necessárias para verificar o andamento das etapas previstas da obra ou do serviço e evitar que haja pagamentos antecipados ou indevidos”. No caso concreto, em que sequer teria havido a elaboração de cronograma das obras, teria sido necessário “definir, prévia e objetivamente, as etapas previstas para execução da obra, mediante a apresentação de memorial descritivo ou cronograma físico-financeiro detalhado”, o que, de fato, não ocorrera. Contudo, apesar de considerar regular o uso de medições combinado com o regime de empreitada por preço global, em razão de diversas outras irregularidades, entendeu ser a providência mais adequada determinar ao Sesi/DR-ES a adoção das providências com vistas à anulação da Concorrência nº 172/2010, apresentando voto nesse sentido, no que contou com a anuência do Plenário. Precedentes citados: Acórdãos nos 1998/2008 e 81/2010 e Decisão 535/2000, todos do Plenário. </w:t>
      </w:r>
      <w:r w:rsidRPr="000F2D4B">
        <w:rPr>
          <w:rFonts w:ascii="Arial" w:eastAsia="Calibri" w:hAnsi="Arial" w:cs="Arial"/>
          <w:b/>
          <w:i/>
          <w:sz w:val="24"/>
        </w:rPr>
        <w:t>Acórdão n.º 534/2011-Plenário, TC-032.619/2010-3, rel. Min. Ubiratan Aguiar, 02.03.2011.</w:t>
      </w:r>
    </w:p>
    <w:p w:rsidR="000F2D4B" w:rsidRPr="000F2D4B" w:rsidRDefault="000F2D4B" w:rsidP="000F2D4B">
      <w:pPr>
        <w:spacing w:before="120" w:after="240" w:line="360" w:lineRule="auto"/>
        <w:jc w:val="both"/>
        <w:rPr>
          <w:rFonts w:ascii="Arial" w:eastAsia="Calibri" w:hAnsi="Arial" w:cs="Arial"/>
          <w:sz w:val="24"/>
        </w:rPr>
      </w:pPr>
    </w:p>
    <w:p w:rsidR="000F2D4B" w:rsidRPr="000F2D4B" w:rsidRDefault="000F2D4B" w:rsidP="0093109F">
      <w:pPr>
        <w:spacing w:before="120" w:after="240" w:line="240" w:lineRule="auto"/>
        <w:jc w:val="both"/>
        <w:rPr>
          <w:rFonts w:ascii="Arial" w:eastAsia="Calibri" w:hAnsi="Arial" w:cs="Arial"/>
          <w:b/>
          <w:sz w:val="28"/>
        </w:rPr>
      </w:pPr>
      <w:r w:rsidRPr="000F2D4B">
        <w:rPr>
          <w:rFonts w:ascii="Arial" w:eastAsia="Calibri" w:hAnsi="Arial" w:cs="Arial"/>
          <w:b/>
          <w:sz w:val="28"/>
        </w:rPr>
        <w:t>Licitações do tipo técnica e preço: atribuição de pontuação distinta para técnica e preço demanda justificativa</w:t>
      </w:r>
    </w:p>
    <w:p w:rsidR="000F2D4B" w:rsidRPr="000F2D4B" w:rsidRDefault="000F2D4B" w:rsidP="000F2D4B">
      <w:pPr>
        <w:spacing w:before="120" w:after="240" w:line="360" w:lineRule="auto"/>
        <w:jc w:val="both"/>
        <w:rPr>
          <w:rFonts w:ascii="Arial" w:eastAsia="Calibri" w:hAnsi="Arial" w:cs="Arial"/>
          <w:b/>
          <w:i/>
          <w:sz w:val="24"/>
        </w:rPr>
      </w:pPr>
      <w:r w:rsidRPr="000F2D4B">
        <w:rPr>
          <w:rFonts w:ascii="Arial" w:eastAsia="Calibri" w:hAnsi="Arial" w:cs="Arial"/>
          <w:sz w:val="24"/>
        </w:rPr>
        <w:t xml:space="preserve">Para o exame de representação por meio da qual teve notícias de possíveis irregularidades na Concorrência 1/2010, promovida pela Secretaria Executiva do Ministério do Esporte, e que teve por objeto a contratação de empresa especializada na prestação de serviços de consultoria, planejamento estratégico e prestação de serviços de assessoria de imprensa e relações públicas para promover o Ministério do Esporte, seus programas e suas ações, no Brasil e no exterior, o TCU promoveu diligência para esclarecer, dentre outros fatos, as razões para atribuição de peso 6 para a proposta técnica e peso 4 à proposta de preço, em desconformidade com o item 9.3.6 do Acórdão 1488, de 2009, do  Plenário do Tribunal. Naquela oportunidade, o colegiado entendeu elevados os pesos 7, para técnica, e 3, para preço. Para o Ministério, a atribuição dos pesos na Concorrência 1/2010 estaria de acordo com o decisum de 2009, do que divergiu o relator. Para ele, na espécie, “a redução da </w:t>
      </w:r>
      <w:r w:rsidRPr="000F2D4B">
        <w:rPr>
          <w:rFonts w:ascii="Arial" w:eastAsia="Calibri" w:hAnsi="Arial" w:cs="Arial"/>
          <w:sz w:val="24"/>
        </w:rPr>
        <w:lastRenderedPageBreak/>
        <w:t xml:space="preserve">diferença entre os pesos, embora signifique avanço em relação ao edital anterior, não atende integralmente a determinação do Acórdão 1.488/2009 – Plenário”. Ainda segundo o relator, seria essencial, e não constou do edital da Concorrência 1/2010, a apresentação de justificativas técnicas que demonstrem a razoabilidade da ponderação, uma vez que “a adoção de critério desproporcional poderia acarretar prejuízo à competitividade do certame e à obtenção da proposta mais vantajosa pela Administração”. Nesse sentido, estaria configurado o descumprimento parcial da determinação anterior do Tribunal. Entendeu, todavia, ser suficiente, no ponto, a expedição de alerta ao Ministério do Esporte, de modo a evitar irregularidade semelhante em suas futuras licitações, votando nesse sentido, no que foi acompanhado pelo Plenário. </w:t>
      </w:r>
      <w:r w:rsidRPr="000F2D4B">
        <w:rPr>
          <w:rFonts w:ascii="Arial" w:eastAsia="Calibri" w:hAnsi="Arial" w:cs="Arial"/>
          <w:b/>
          <w:i/>
          <w:sz w:val="24"/>
        </w:rPr>
        <w:t>Acórdão nº 546/2011-Plenário, TC-033.677/2010-7, rel. Min-Subst. Augusto Sherman Cavalcanti, 02.03.2011.</w:t>
      </w:r>
    </w:p>
    <w:p w:rsidR="000F2D4B" w:rsidRPr="000F2D4B" w:rsidRDefault="000F2D4B" w:rsidP="000F2D4B">
      <w:pPr>
        <w:spacing w:before="120" w:after="240" w:line="360" w:lineRule="auto"/>
        <w:jc w:val="both"/>
        <w:rPr>
          <w:rFonts w:ascii="Arial" w:eastAsia="Calibri" w:hAnsi="Arial" w:cs="Arial"/>
          <w:sz w:val="24"/>
        </w:rPr>
      </w:pPr>
      <w:r w:rsidRPr="000F2D4B">
        <w:rPr>
          <w:rFonts w:ascii="Arial" w:eastAsia="Calibri" w:hAnsi="Arial" w:cs="Arial"/>
          <w:sz w:val="24"/>
        </w:rPr>
        <w:t xml:space="preserve"> </w:t>
      </w:r>
    </w:p>
    <w:p w:rsidR="000F2D4B" w:rsidRPr="000F2D4B" w:rsidRDefault="000F2D4B" w:rsidP="0093109F">
      <w:pPr>
        <w:spacing w:before="120" w:after="240" w:line="240" w:lineRule="auto"/>
        <w:jc w:val="both"/>
        <w:rPr>
          <w:rFonts w:ascii="Arial" w:eastAsia="Calibri" w:hAnsi="Arial" w:cs="Arial"/>
          <w:b/>
          <w:sz w:val="28"/>
        </w:rPr>
      </w:pPr>
      <w:r w:rsidRPr="000F2D4B">
        <w:rPr>
          <w:rFonts w:ascii="Arial" w:eastAsia="Calibri" w:hAnsi="Arial" w:cs="Arial"/>
          <w:b/>
          <w:sz w:val="28"/>
        </w:rPr>
        <w:t>Licitações de obras públicas: devem ser desclassificadas as propostas de licitantes que não contenham a composição de todos os custos unitários dos itens</w:t>
      </w:r>
    </w:p>
    <w:p w:rsidR="000F2D4B" w:rsidRDefault="000F2D4B" w:rsidP="000F2D4B">
      <w:pPr>
        <w:spacing w:before="120" w:after="240" w:line="360" w:lineRule="auto"/>
        <w:jc w:val="both"/>
        <w:rPr>
          <w:rFonts w:ascii="Arial" w:eastAsia="Calibri" w:hAnsi="Arial" w:cs="Arial"/>
          <w:b/>
          <w:i/>
          <w:sz w:val="24"/>
        </w:rPr>
      </w:pPr>
      <w:r w:rsidRPr="000F2D4B">
        <w:rPr>
          <w:rFonts w:ascii="Arial" w:eastAsia="Calibri" w:hAnsi="Arial" w:cs="Arial"/>
          <w:sz w:val="24"/>
        </w:rPr>
        <w:t xml:space="preserve">Levantamento de auditoria realizado pelo TCU na superintendência regional do Departamento Nacional de Infraestrutura de Transportes – (DNIT) nos estados de Rondônia e Acre acerca das obras de manutenção de trechos rodoviários da BR-364/RO identificou, dentre outras potenciais irregularidades, suposto prejuízo derivado do excessivo rigor na desclassificação da proposta da empresa A. A. Construções Ltda., por ter apresentado, em duas licitações referentes à manutenção de trechos rodoviários da BR-364/RO, propostas sem as composições de preços unitários dos itens “aquisição de material betuminoso” e “transporte de material betuminoso”, em desacordo com o preceituado no item 15.4, alínea “a”, dos editais dos sobreditos certames licitatórios. Para a unidade instrutiva, a Comissão Permanente de Licitação- (CPL) do DNIT deveria ter diligenciado à empresa, com vistas a sanar as falhas formais da proposta, antes de sua desclassificação. Além disso, os membros da Comissão não teriam acolhido recurso interposto pela A.A. Construções Ltda., por meio do qual a licitante teria apresentado todas as composições de custos unitários. Por isso, para a unidade técnica, os membros da CPL-DNIT </w:t>
      </w:r>
      <w:r w:rsidRPr="000F2D4B">
        <w:rPr>
          <w:rFonts w:ascii="Arial" w:eastAsia="Calibri" w:hAnsi="Arial" w:cs="Arial"/>
          <w:sz w:val="24"/>
        </w:rPr>
        <w:lastRenderedPageBreak/>
        <w:t xml:space="preserve">deveriam ser responsabilizados solidariamente pelo débito, por meio de processo de tomada de contas especial - TCE, quantificado a partir do somatório das diferenças, a menor, dos valores ofertados pela A.A. Construções Ltda., nos referidos certames, em comparação com as propostas das demais licitantes vencedoras. No voto, o relator, ao apresentar sua discordância, argumentou que, “ainda que aparentemente mais vantajosa à Administração, a proposta que não guardar consonância com o edital deverá ser desclassificada em atenção ao disposto no art. 48, inciso I, da Lei nº 8.666, de 1993, por meio de decisão motivada, registrada em ata”. Ademais, ainda para o relator, “a inobservância a dispositivos do edital, incluindo-se a obrigatoriedade de apresentação da composição de todos os custos unitários, tem, por vezes, levado à imposição de penalidade aos membros da CPL e a gestores que não promovem a desclassificação das propostas desconformes com o instrumento convocatório, em desacordo com o art. 41 da Lei de Licitações”. Assim, conforme o relator, teriam agido com razão os membros da CPL-DNIT, ao promover a desclassificação da A.A. Construções Ltda, razão pela qual propôs que não fosse feita a conversão do processo em TCE, o que foi acolhido pelo Plenário. </w:t>
      </w:r>
      <w:r w:rsidRPr="000F2D4B">
        <w:rPr>
          <w:rFonts w:ascii="Arial" w:eastAsia="Calibri" w:hAnsi="Arial" w:cs="Arial"/>
          <w:b/>
          <w:i/>
          <w:sz w:val="24"/>
        </w:rPr>
        <w:t>Acórdão nº 550/2011-Plenário, TC-019.160/2008-4, rel. Min-Subst. André Luís Carvalho, 02.03.2011.</w:t>
      </w:r>
    </w:p>
    <w:p w:rsidR="00716EEA" w:rsidRDefault="00716EEA" w:rsidP="00716EEA">
      <w:pPr>
        <w:spacing w:before="120" w:after="240" w:line="360" w:lineRule="auto"/>
        <w:jc w:val="center"/>
        <w:rPr>
          <w:rFonts w:ascii="Arial" w:eastAsia="Calibri" w:hAnsi="Arial" w:cs="Arial"/>
          <w:b/>
          <w:sz w:val="32"/>
        </w:rPr>
      </w:pPr>
      <w:r>
        <w:rPr>
          <w:rFonts w:ascii="Arial" w:eastAsia="Calibri" w:hAnsi="Arial" w:cs="Arial"/>
          <w:b/>
          <w:sz w:val="32"/>
        </w:rPr>
        <w:t>54.</w:t>
      </w:r>
    </w:p>
    <w:p w:rsidR="00716EEA" w:rsidRPr="00716EEA" w:rsidRDefault="00716EEA" w:rsidP="0093109F">
      <w:pPr>
        <w:spacing w:before="120" w:after="240" w:line="240" w:lineRule="auto"/>
        <w:jc w:val="both"/>
        <w:rPr>
          <w:rFonts w:ascii="Arial" w:eastAsia="Calibri" w:hAnsi="Arial" w:cs="Arial"/>
          <w:b/>
          <w:sz w:val="28"/>
        </w:rPr>
      </w:pPr>
      <w:r w:rsidRPr="00716EEA">
        <w:rPr>
          <w:rFonts w:ascii="Arial" w:eastAsia="Calibri" w:hAnsi="Arial" w:cs="Arial"/>
          <w:b/>
          <w:sz w:val="28"/>
        </w:rPr>
        <w:t>Licitações de obras públicas: no caso de alteração do projeto originário, há que se demonstrar, motivadamente, que a nova solução é de fato superior, sendo que, quando se verifique desfiguração significativa do projeto inicial, a realização de nova licitação é imprescindível</w:t>
      </w:r>
    </w:p>
    <w:p w:rsidR="00716EEA" w:rsidRDefault="00716EEA" w:rsidP="00716EEA">
      <w:pPr>
        <w:spacing w:before="120" w:after="240" w:line="360" w:lineRule="auto"/>
        <w:jc w:val="both"/>
        <w:rPr>
          <w:rFonts w:ascii="Arial" w:eastAsia="Calibri" w:hAnsi="Arial" w:cs="Arial"/>
          <w:b/>
          <w:i/>
          <w:sz w:val="24"/>
        </w:rPr>
      </w:pPr>
      <w:r w:rsidRPr="00716EEA">
        <w:rPr>
          <w:rFonts w:ascii="Arial" w:eastAsia="Calibri" w:hAnsi="Arial" w:cs="Arial"/>
          <w:sz w:val="24"/>
        </w:rPr>
        <w:t xml:space="preserve">Ao apreciar embargos de declaração opostos pelo </w:t>
      </w:r>
      <w:r w:rsidRPr="00716EEA">
        <w:rPr>
          <w:rFonts w:ascii="Arial" w:eastAsia="Calibri" w:hAnsi="Arial" w:cs="Arial"/>
          <w:sz w:val="24"/>
          <w:lang w:val="pt-PT"/>
        </w:rPr>
        <w:t xml:space="preserve">Departamento Nacional de Infraestrutura de Transportes </w:t>
      </w:r>
      <w:r w:rsidRPr="00716EEA">
        <w:rPr>
          <w:rFonts w:ascii="Arial" w:eastAsia="Calibri" w:hAnsi="Arial" w:cs="Arial"/>
          <w:sz w:val="24"/>
        </w:rPr>
        <w:t xml:space="preserve">– (DNIT) em face de determinação veiculada pelo Acórdão 749/2010-Plenário, no sentido de que, nas alterações contratuais relativas às obras à cargo daquela autarquia, o limite de 25% previsto no art. 65, § 1º, da Lei 8.666/1993 aplica-se separadamente às supressões e acréscimos de quantitativos à planilha, a cada alteração contratual devidamente justificada, o Tribunal afastou o entendimento manifestado pela instituição quanto à da natureza secundária que teriam as soluções </w:t>
      </w:r>
      <w:r w:rsidRPr="00716EEA">
        <w:rPr>
          <w:rFonts w:ascii="Arial" w:eastAsia="Calibri" w:hAnsi="Arial" w:cs="Arial"/>
          <w:sz w:val="24"/>
        </w:rPr>
        <w:lastRenderedPageBreak/>
        <w:t xml:space="preserve">construtivas e outras especificações incorporadas ao projeto de uma obra, para a correta identificação do empreendimento. Para o DNIT, como tais situações teriam papel apenas coadjuvante ao objeto visado, as escolhas técnicas e especificações poderiam ser alteradas em qualquer fase da obra e, mais ainda, constituiriam exceção ao procedimento preconizado na determinação questionada, no sentido de que a supressão dos itens relativos às soluções técnicas e especificações a serem substituídas na fase de execução contratual não estariam sujeitos ao limite de 25% previsto no art. 65, § 1º, da Lei 8.666/1993. Para o relator, todavia, a simples leitura das disposições constantes do art. 6º, inciso IX, do estatuto das licitações públicas, seria suficiente para esclarecer que toda e qualquer obra é caracterizada pelo seu projeto, e que este deve conter, obrigatoriamente, “a identificação dos tipos de serviço e materiais necessários à execução, com as respectivas especificações”. Deveria incorporar, também, “todas as soluções globais e localizadas, minimizando a necessidade de maiores detalhamentos por ocasião da elaboração do projeto executivo”. Assim, não teria absolutamente qualquer fundamento legal ou fático, portanto, a assertiva de que, na obra rodoviária, o objeto estaria definido com a simples informação de que se trata de construção e pavimentação, e com a indicação do trecho e da extensão. Também equivocada, ainda segundo o relator, a noção de que a reformulação do projeto, por considerar soluções por ele não albergadas, traria maiores benefícios à obra, acarretando automaticamente a alteração contratual para substituição da solução anterior pela nova concepção. Segundo o relator, em primeiro lugar, deve-se ter presente que, “no contrato administrativo, todas as partes contratantes estão inexoravelmente adstritas aos termos da licitação e da proposta que deram origem ao contrato (art. 54, § 1º, da Lei 8.666/1993)”, e, além disso, no caso de alteração do inicialmente ajustado, “há que se demonstrar que a nova solução é de fato superior, com explicitação dos motivos pelos quais não foi ela consagrada no projeto original, durante sua elaboração”. Na espécie, em obras relativas à engenharia rodoviária, segundo o ponto de vista do relator, “as soluções técnicas aplicáveis a cada situação real já são bem conhecidas pelos projetistas que operam nessa área. Há plenas condições de se determinar, a priori, a solução técnica adequada a cada problema”. Assim, mesmo nos casos extremamente raros em que não se </w:t>
      </w:r>
      <w:r w:rsidRPr="00716EEA">
        <w:rPr>
          <w:rFonts w:ascii="Arial" w:eastAsia="Calibri" w:hAnsi="Arial" w:cs="Arial"/>
          <w:sz w:val="24"/>
        </w:rPr>
        <w:lastRenderedPageBreak/>
        <w:t xml:space="preserve">possa determinar de antemão a melhor solução técnica, será necessário, ainda, “verificar o grau de ofensa das alterações necessárias no contrato às condições advindas da licitação, pois havendo desfiguração significativa do projeto inicial a realização de nova licitação será inevitável”. Por conseguinte, votou, e o Plenário consentiu, pelo não provimento dos embargos. </w:t>
      </w:r>
      <w:r w:rsidRPr="00716EEA">
        <w:rPr>
          <w:rFonts w:ascii="Arial" w:eastAsia="Calibri" w:hAnsi="Arial" w:cs="Arial"/>
          <w:b/>
          <w:i/>
          <w:sz w:val="24"/>
        </w:rPr>
        <w:t>Acórdão n.º 591/2011-Plenário, TC-022.689/2006-5, rel. Min. Augusto Nardes, 16.03.2011.</w:t>
      </w:r>
    </w:p>
    <w:p w:rsidR="00716EEA" w:rsidRDefault="00716EEA" w:rsidP="00716EEA">
      <w:pPr>
        <w:spacing w:before="120" w:after="240" w:line="360" w:lineRule="auto"/>
        <w:jc w:val="both"/>
        <w:rPr>
          <w:rFonts w:ascii="Arial" w:eastAsia="Calibri" w:hAnsi="Arial" w:cs="Arial"/>
          <w:b/>
          <w:i/>
          <w:sz w:val="24"/>
        </w:rPr>
      </w:pPr>
    </w:p>
    <w:p w:rsidR="00716EEA" w:rsidRPr="0093109F" w:rsidRDefault="00716EEA" w:rsidP="0093109F">
      <w:pPr>
        <w:spacing w:before="120" w:after="240" w:line="240" w:lineRule="auto"/>
        <w:jc w:val="both"/>
        <w:rPr>
          <w:rFonts w:ascii="Arial" w:eastAsia="Calibri" w:hAnsi="Arial" w:cs="Arial"/>
          <w:b/>
          <w:sz w:val="28"/>
        </w:rPr>
      </w:pPr>
      <w:r w:rsidRPr="00716EEA">
        <w:rPr>
          <w:rFonts w:ascii="Arial" w:eastAsia="Calibri" w:hAnsi="Arial" w:cs="Arial"/>
          <w:b/>
          <w:sz w:val="28"/>
        </w:rPr>
        <w:t>1 – Apesar de não existir na Lei 8.666/1993, expressamente, dispositivo que proíba a participação em certame licitatório de parentes da autoridade responsável pela homologação do procedimento, tal vedação pode ser extraída da interpretação axiológica do estatuto das licitações públicas</w:t>
      </w:r>
    </w:p>
    <w:p w:rsidR="00716EEA" w:rsidRDefault="00716EEA" w:rsidP="00716EEA">
      <w:pPr>
        <w:spacing w:before="120" w:after="240" w:line="360" w:lineRule="auto"/>
        <w:jc w:val="both"/>
        <w:rPr>
          <w:rFonts w:ascii="Arial" w:eastAsia="Calibri" w:hAnsi="Arial" w:cs="Arial"/>
          <w:b/>
          <w:i/>
          <w:sz w:val="24"/>
        </w:rPr>
      </w:pPr>
      <w:r w:rsidRPr="00716EEA">
        <w:rPr>
          <w:rFonts w:ascii="Arial" w:eastAsia="Calibri" w:hAnsi="Arial" w:cs="Arial"/>
          <w:sz w:val="24"/>
        </w:rPr>
        <w:t xml:space="preserve">Representação levou ao conhecimento do TCU potenciais irregularidades ocorridas na aplicação de recursos oriundos do Contrato de Repasse nº 0141741-29/2002/SEDU/CAIXA, firmado entre a Caixa Econômica Federal (CEF) e o município de Marataízes/ES, destinados à construção de 1.638 metros de rede coletora de esgoto. Dentre tais irregularidades, abordou-se, em função de sua gravidade, a contratação da empresa Square Construtora Ltda., de propriedade do sobrinho do então Prefeito, configurando possível conflito de interesse, em afronta ao art. 9º, </w:t>
      </w:r>
      <w:r w:rsidRPr="00716EEA">
        <w:rPr>
          <w:rFonts w:ascii="Arial" w:eastAsia="Calibri" w:hAnsi="Arial" w:cs="Arial"/>
          <w:b/>
          <w:sz w:val="24"/>
        </w:rPr>
        <w:t>caput</w:t>
      </w:r>
      <w:r w:rsidRPr="00716EEA">
        <w:rPr>
          <w:rFonts w:ascii="Arial" w:eastAsia="Calibri" w:hAnsi="Arial" w:cs="Arial"/>
          <w:sz w:val="24"/>
        </w:rPr>
        <w:t>, incisos I e III, e § 3º, da Lei nº 8.666, de 1993, além dos princípios constitucionais da moralidade, impessoalidade e isonomia, com indícios de direcionamento do certame. Para o ex-gestor municipal, a contratação de parente próximo não seria irregular, mesmo tendo sua conduta confrontada com os princípios constitucionais da moralidade e impessoalidade. Não se poderia deduzir, a partir do grau de parentesco, a violação dos princípios constitucionais, uma vez que a contratação teria sido fruto de procedimento licitatório regular. No entanto, entende o relator que “</w:t>
      </w:r>
      <w:r w:rsidRPr="00716EEA">
        <w:rPr>
          <w:rFonts w:ascii="Arial" w:eastAsia="Calibri" w:hAnsi="Arial" w:cs="Arial"/>
          <w:i/>
          <w:sz w:val="24"/>
        </w:rPr>
        <w:t xml:space="preserve">mesmo que a Lei nº 8.666, de 1993, não possua dispositivo vedando expressamente a participação de parentes em licitações em que o servidor público atue na condição de autoridade responsável pela homologação do certame, vê-se que foi essa a intenção axiológica do legislador ao estabelecer o art. 9º dessa Lei, em especial nos §§ 3º e 4º, vedando a prática de conflito de </w:t>
      </w:r>
      <w:r w:rsidRPr="00716EEA">
        <w:rPr>
          <w:rFonts w:ascii="Arial" w:eastAsia="Calibri" w:hAnsi="Arial" w:cs="Arial"/>
          <w:i/>
          <w:sz w:val="24"/>
        </w:rPr>
        <w:lastRenderedPageBreak/>
        <w:t>interesse nas licitações públicas...</w:t>
      </w:r>
      <w:r w:rsidRPr="00716EEA">
        <w:rPr>
          <w:rFonts w:ascii="Arial" w:eastAsia="Calibri" w:hAnsi="Arial" w:cs="Arial"/>
          <w:sz w:val="24"/>
        </w:rPr>
        <w:t xml:space="preserve">”. Por conseguinte, pela contratação da empresa do sobrinho e por outras irregularidades que propiciaram o direcionamento do certame, tais como a contratação da construtora do parente mediante convite em que apenas a empresa dele compareceu ao certame e a aceitação de “declaração” de auditor da previdência social, a informar que a Construtora Square não teria, ao tempo da licitação, débitos perante a previdência em lugar da necessária certidão negativa de débitos previdenciários, o relator votou por que se responsabilizasse o ex-prefeito e todos os demais participantes da contratação, sem prejuízo de que se aferisse, em processo apartado, o envolvimento do sobrinho do ex-prefeito nas irregularidades verificadas, para que, em momento oportuno, fosse declarada a inidoneidade da empresa de sua propriedade, caso restassem comprovados os indícios de tal envolvimento. O Plenário acolheu a proposição. Precedentes citados: Acórdãos 2.136/2006-1ª Câmara, 1785/2003-2ª Câmara, 778/2009, 1.170/2010 e 1.893/2010, do Plenário. </w:t>
      </w:r>
      <w:r w:rsidRPr="00716EEA">
        <w:rPr>
          <w:rFonts w:ascii="Arial" w:eastAsia="Calibri" w:hAnsi="Arial" w:cs="Arial"/>
          <w:b/>
          <w:i/>
          <w:sz w:val="24"/>
        </w:rPr>
        <w:t>Acórdão n.º 607/2011-Plenário, TC-002.128/2008-1, rel. Min-Subst. André Luís Carvalho, 16.03.2011.</w:t>
      </w:r>
    </w:p>
    <w:p w:rsidR="00716EEA" w:rsidRDefault="00716EEA" w:rsidP="00716EEA">
      <w:pPr>
        <w:spacing w:before="120" w:after="240" w:line="360" w:lineRule="auto"/>
        <w:jc w:val="both"/>
        <w:rPr>
          <w:rFonts w:ascii="Arial" w:eastAsia="Calibri" w:hAnsi="Arial" w:cs="Arial"/>
          <w:b/>
          <w:i/>
          <w:sz w:val="24"/>
        </w:rPr>
      </w:pPr>
    </w:p>
    <w:p w:rsidR="00716EEA" w:rsidRPr="00716EEA" w:rsidRDefault="00716EEA" w:rsidP="0093109F">
      <w:pPr>
        <w:spacing w:before="120" w:after="240" w:line="240" w:lineRule="auto"/>
        <w:jc w:val="both"/>
        <w:rPr>
          <w:rFonts w:ascii="Arial" w:eastAsia="Calibri" w:hAnsi="Arial" w:cs="Arial"/>
          <w:b/>
          <w:sz w:val="28"/>
        </w:rPr>
      </w:pPr>
      <w:r w:rsidRPr="00716EEA">
        <w:rPr>
          <w:rFonts w:ascii="Arial" w:eastAsia="Calibri" w:hAnsi="Arial" w:cs="Arial"/>
          <w:b/>
          <w:sz w:val="28"/>
        </w:rPr>
        <w:t>2 – Na apuração de irregularidades em processo licitatório deve ser aferida a participação dos agentes públicos envolvidos, de modo a se promover a adequada responsabilização pelos fatos danosos</w:t>
      </w:r>
    </w:p>
    <w:p w:rsidR="00716EEA" w:rsidRDefault="00716EEA" w:rsidP="00716EEA">
      <w:pPr>
        <w:spacing w:before="120" w:after="240" w:line="360" w:lineRule="auto"/>
        <w:jc w:val="both"/>
        <w:rPr>
          <w:rFonts w:ascii="Arial" w:eastAsia="Calibri" w:hAnsi="Arial" w:cs="Arial"/>
          <w:b/>
          <w:i/>
          <w:sz w:val="24"/>
        </w:rPr>
      </w:pPr>
      <w:r w:rsidRPr="00716EEA">
        <w:rPr>
          <w:rFonts w:ascii="Arial" w:eastAsia="Calibri" w:hAnsi="Arial" w:cs="Arial"/>
          <w:sz w:val="24"/>
        </w:rPr>
        <w:t>Ainda na representação que levou ao conhecimento do TCU potenciais irregularidades ocorridas na aplicação de recursos oriundos do Contrato de Repasse nº 0141741-29/2002/SEDU/CAIXA, firmado entre a Caixa Econômica Federal (CEF) e o município de Marataízes/ES, constou a ausência de justificativa para a inobservância do número mínimo de três propostas aptas à seleção, na licitação sob a modalidade convite (n</w:t>
      </w:r>
      <w:r w:rsidRPr="00716EEA">
        <w:rPr>
          <w:rFonts w:ascii="Arial" w:eastAsia="Calibri" w:hAnsi="Arial" w:cs="Arial"/>
          <w:sz w:val="24"/>
          <w:u w:val="single"/>
          <w:vertAlign w:val="superscript"/>
        </w:rPr>
        <w:t>o</w:t>
      </w:r>
      <w:r w:rsidRPr="00716EEA">
        <w:rPr>
          <w:rFonts w:ascii="Arial" w:eastAsia="Calibri" w:hAnsi="Arial" w:cs="Arial"/>
          <w:sz w:val="24"/>
        </w:rPr>
        <w:t xml:space="preserve"> 53/2005), impondo-se a repetição do ato, com a convocação de outras possíveis empresas interessadas, ressalvadas as hipóteses previstas no § 7º do art. 22 da Lei nº 8.666, de 1993. Na espécie, comparecera ao certame apenas uma empresa, de propriedade do sobrinho do então Prefeito. A unidade técnica, ao analisar essa irregularidade, fez juntar aos autos pesquisa no cadastro de pessoas jurídicas da Receita Federal que indicou a existência de 25 possíveis </w:t>
      </w:r>
      <w:r w:rsidRPr="00716EEA">
        <w:rPr>
          <w:rFonts w:ascii="Arial" w:eastAsia="Calibri" w:hAnsi="Arial" w:cs="Arial"/>
          <w:sz w:val="24"/>
        </w:rPr>
        <w:lastRenderedPageBreak/>
        <w:t>fornecedores em condições de atender à licitação em questão, no município de Marataízes ou em municípios vizinhos. Promovida a oitiva dos responsáveis, o ex-presidente da Comissão Permanente de Licitação – (CPL) justificou-se apontando dificuldades para proceder ao convite das empresas, como: falta de servidores e de veículos, dificuldades de encontrar licitantes, muitas empresas seriam firmas individuais e falta de interesse dos potenciais participantes do certame. Já duas ex-integrantes da CPL, também ouvidas por esta irregularidade, informaram que, ao período dos fatos, teriam sido recém nomeadas para a função, sem receber devido treinamento, além de terem seguido as orientações do presidente da CPL, que era advogado. Alegaram, ainda, falta de clareza da Lei de Licitações a esse respeito, bem como a inaplicabilidade da Súmula TCU nº 248. Ao examinar o assunto, o relator enfatizou que, embora exista orientação jurisprudencial do TCU sobre o assunto, o tema não seria de fácil domínio junto à doutrina. Assim, mensurando a contribuição para a irregularidade em questão, concluiu ser a maior parte atribuível ao então presidente da CPL, pessoa qualificada para a função, conforme asseverado pelo próprio responsável, em suas justificativas. Já as demais integrantes da comissão teriam desempenhado papel secundário no transcurso do convite n</w:t>
      </w:r>
      <w:r w:rsidRPr="00716EEA">
        <w:rPr>
          <w:rFonts w:ascii="Arial" w:eastAsia="Calibri" w:hAnsi="Arial" w:cs="Arial"/>
          <w:sz w:val="24"/>
          <w:u w:val="single"/>
          <w:vertAlign w:val="superscript"/>
        </w:rPr>
        <w:t>o</w:t>
      </w:r>
      <w:r w:rsidRPr="00716EEA">
        <w:rPr>
          <w:rFonts w:ascii="Arial" w:eastAsia="Calibri" w:hAnsi="Arial" w:cs="Arial"/>
          <w:sz w:val="24"/>
        </w:rPr>
        <w:t xml:space="preserve"> 53/2005. Assim, para estas, a aplicação da penalidade proposta pela unidade técnica seria desproporcional. Diferente seria a situação de outra componente da CPL, que, ao tempo dos fatos, acumulava a função com a de a de assessora jurídica da Prefeitura. Por possuir possui formação jurídica, era de se esperar da responsável, na opinião do relator, “</w:t>
      </w:r>
      <w:r w:rsidRPr="00716EEA">
        <w:rPr>
          <w:rFonts w:ascii="Arial" w:eastAsia="Calibri" w:hAnsi="Arial" w:cs="Arial"/>
          <w:i/>
          <w:sz w:val="24"/>
        </w:rPr>
        <w:t>conduta diversa, consignando no processo que a não repetição do convite após o comparecimento de apenas uma licitante, sem a devida justificativa, contrariava a norma aplicável</w:t>
      </w:r>
      <w:r w:rsidRPr="00716EEA">
        <w:rPr>
          <w:rFonts w:ascii="Arial" w:eastAsia="Calibri" w:hAnsi="Arial" w:cs="Arial"/>
          <w:sz w:val="24"/>
        </w:rPr>
        <w:t>”. Por conseguinte, tendo em conta a participação de cada um dos ex-membros da comissão, votou o relator por que a irregularidade fosse atribuída ao ex-Presidente da CPL, à ex-integrante da comissão e assessora jurídica da prefeitura, que conduziram e instruíram esta fase da licitação, bem como ao ex-prefeito de Marataízes, que homologou o procedimento. O Plenário acolheu a proposição.</w:t>
      </w:r>
      <w:r w:rsidRPr="00716EEA">
        <w:rPr>
          <w:rFonts w:ascii="Arial" w:eastAsia="Calibri" w:hAnsi="Arial" w:cs="Arial"/>
          <w:b/>
          <w:sz w:val="24"/>
        </w:rPr>
        <w:t xml:space="preserve"> Precedentes citados: Súmula/TCU 248, </w:t>
      </w:r>
      <w:r w:rsidRPr="00716EEA">
        <w:rPr>
          <w:rFonts w:ascii="Arial" w:eastAsia="Calibri" w:hAnsi="Arial" w:cs="Arial"/>
          <w:b/>
          <w:i/>
          <w:sz w:val="24"/>
        </w:rPr>
        <w:t>Acórdão n.º 607/2011-Plenário, TC-002.128/2008-1, rel. Min-Subst. André Luís Carvalho, 16.03.2011.</w:t>
      </w:r>
    </w:p>
    <w:p w:rsidR="00716EEA" w:rsidRDefault="00716EEA" w:rsidP="00716EEA">
      <w:pPr>
        <w:spacing w:before="120" w:after="240" w:line="360" w:lineRule="auto"/>
        <w:jc w:val="both"/>
        <w:rPr>
          <w:rFonts w:ascii="Arial" w:eastAsia="Calibri" w:hAnsi="Arial" w:cs="Arial"/>
          <w:b/>
          <w:i/>
          <w:sz w:val="24"/>
        </w:rPr>
      </w:pPr>
    </w:p>
    <w:p w:rsidR="002609E2" w:rsidRDefault="002609E2" w:rsidP="002609E2">
      <w:pPr>
        <w:spacing w:before="120" w:after="240" w:line="360" w:lineRule="auto"/>
        <w:jc w:val="center"/>
        <w:rPr>
          <w:rFonts w:ascii="Arial" w:eastAsia="Calibri" w:hAnsi="Arial" w:cs="Arial"/>
          <w:b/>
          <w:sz w:val="32"/>
        </w:rPr>
      </w:pPr>
      <w:r>
        <w:rPr>
          <w:rFonts w:ascii="Arial" w:eastAsia="Calibri" w:hAnsi="Arial" w:cs="Arial"/>
          <w:b/>
          <w:sz w:val="32"/>
        </w:rPr>
        <w:t>55.</w:t>
      </w:r>
    </w:p>
    <w:p w:rsidR="002609E2" w:rsidRPr="002609E2" w:rsidRDefault="002609E2" w:rsidP="0093109F">
      <w:pPr>
        <w:spacing w:before="120" w:after="240" w:line="240" w:lineRule="auto"/>
        <w:jc w:val="both"/>
        <w:rPr>
          <w:rFonts w:ascii="Arial" w:eastAsia="Calibri" w:hAnsi="Arial" w:cs="Arial"/>
          <w:b/>
          <w:sz w:val="28"/>
        </w:rPr>
      </w:pPr>
      <w:r w:rsidRPr="002609E2">
        <w:rPr>
          <w:rFonts w:ascii="Arial" w:eastAsia="Calibri" w:hAnsi="Arial" w:cs="Arial"/>
          <w:b/>
          <w:sz w:val="28"/>
        </w:rPr>
        <w:t>Deve ser justificada a limitação excepcional quanto ao número de empresas a integrarem consórcios, quando seja admitida a participação destes em processo licitatório</w:t>
      </w:r>
    </w:p>
    <w:p w:rsidR="002609E2" w:rsidRDefault="002609E2" w:rsidP="002609E2">
      <w:pPr>
        <w:spacing w:before="120" w:after="240" w:line="360" w:lineRule="auto"/>
        <w:jc w:val="both"/>
        <w:rPr>
          <w:rFonts w:ascii="Arial" w:eastAsia="Calibri" w:hAnsi="Arial" w:cs="Arial"/>
          <w:b/>
          <w:i/>
          <w:sz w:val="24"/>
        </w:rPr>
      </w:pPr>
      <w:r w:rsidRPr="002609E2">
        <w:rPr>
          <w:rFonts w:ascii="Arial" w:eastAsia="Calibri" w:hAnsi="Arial" w:cs="Arial"/>
          <w:sz w:val="24"/>
        </w:rPr>
        <w:t>Denúncia formulada ao Tribunal trouxe notícia acerca de possíveis irregularidades na Concorrência Internacional 010/2010, realizada pela Empresa Brasileira de Infraestrutura Aeroportuária – (Infraero), cujo objeto consistiu na contratação de empresa para execução das obras e serviços de engenharia para reforma, ampliação e modernização do terminal de passageiros do Aeroporto Internacional Tancredo Neves – Confins. Dentre tais irregularidades, estaria o impedimento, mediante cláusula do edital norteador do certame, da participação de consórcios, o que poderia, para a unidade técnica, restringir o caráter competitivo do certame. Ao ser ouvida a respeito, a Infraero alegou que tal medida foi adotada tendo em conta diversos problemas incorridos em contratações efetuadas recentemente com consórcios, com muitos problemas advindos daí. Por conseguinte, demandou a entidade autorização do Tribunal para que, em caráter excepcional, aceitasse a formação de consórcios com no máximo três empresas, sendo tal excepcionalidade estendida aos demais empreendimentos vinculados à Copa do Mundo e de incumbência da estatal. No caso da obra de Confins, ainda para a Infraero, o número de três seria justificável, pois no empreendimento haveria três especialidades distintas: obras civis, sistemas eletromecânicos e sistemas eletroeletrônicos</w:t>
      </w:r>
      <w:r w:rsidRPr="002609E2">
        <w:rPr>
          <w:rFonts w:ascii="Arial" w:eastAsia="Calibri" w:hAnsi="Arial" w:cs="Arial"/>
          <w:i/>
          <w:sz w:val="24"/>
        </w:rPr>
        <w:t>.</w:t>
      </w:r>
      <w:r w:rsidRPr="002609E2">
        <w:rPr>
          <w:rFonts w:ascii="Arial" w:eastAsia="Calibri" w:hAnsi="Arial" w:cs="Arial"/>
          <w:sz w:val="24"/>
        </w:rPr>
        <w:t xml:space="preserve"> Ao examinar a matéria, a unidade instrutiva destacou, inicialmente, que a participação de consórcios seria discricionariedade para a Administração, em face de dispositivo constante da Lei 8.666/1993 (art. 33), e em linha com a jurisprudência do TCU, na qual, como regra geral, o Tribunal tem decidido que, “</w:t>
      </w:r>
      <w:r w:rsidRPr="002609E2">
        <w:rPr>
          <w:rFonts w:ascii="Arial" w:eastAsia="Calibri" w:hAnsi="Arial" w:cs="Arial"/>
          <w:i/>
          <w:sz w:val="24"/>
        </w:rPr>
        <w:t>por ausência de previsão legal, é irregular a condição que estabeleça número mínimo ou máximo de empresas participantes no consórcio”.</w:t>
      </w:r>
      <w:r w:rsidRPr="002609E2">
        <w:rPr>
          <w:rFonts w:ascii="Arial" w:eastAsia="Calibri" w:hAnsi="Arial" w:cs="Arial"/>
          <w:sz w:val="24"/>
        </w:rPr>
        <w:t xml:space="preserve"> Seriam, então, duas situações: por um lado, permitir ou não a participação de empresas em consórcio, estaria dentro da discricionariedade concedida à Administração; por outro, caso permitida a participação de </w:t>
      </w:r>
      <w:r w:rsidRPr="002609E2">
        <w:rPr>
          <w:rFonts w:ascii="Arial" w:eastAsia="Calibri" w:hAnsi="Arial" w:cs="Arial"/>
          <w:sz w:val="24"/>
        </w:rPr>
        <w:lastRenderedPageBreak/>
        <w:t>consórcios, não caberia à Administração estabelecer condições não previstas expressamente na Lei. Todavia, no caso concreto, para a unidade técnica seria “</w:t>
      </w:r>
      <w:r w:rsidRPr="002609E2">
        <w:rPr>
          <w:rFonts w:ascii="Arial" w:eastAsia="Calibri" w:hAnsi="Arial" w:cs="Arial"/>
          <w:i/>
          <w:sz w:val="24"/>
        </w:rPr>
        <w:t>perfeitamente aceitável a limitação do número de empresas consorciadas, em caráter excepcional, impedindo a pulverização de responsabilidades</w:t>
      </w:r>
      <w:r w:rsidRPr="002609E2">
        <w:rPr>
          <w:rFonts w:ascii="Arial" w:eastAsia="Calibri" w:hAnsi="Arial" w:cs="Arial"/>
          <w:sz w:val="24"/>
        </w:rPr>
        <w:t xml:space="preserve">”, considerando-se, ademais, a importância das obras, necessárias à infraestrutura aeroportuária para a Copa do Mundo de 2014. Ao concordar com as análises da unidade técnica, o relator enfatizou que a Infraero deverá, em cada caso concreto, justificar a decisão por eventual limitação a um número máximo de empresas integrantes em consórcios, quando seja admitida a participação destes em processo licitatório pela empresa, razão pela qual propôs que se expedisse determinação à entidade nesse sentido, o que foi acolhido pelo Plenário. Precedentes citados: 312/2003, 1297/2003 e 1454/2003, todos do Plenário. </w:t>
      </w:r>
      <w:r w:rsidRPr="002609E2">
        <w:rPr>
          <w:rFonts w:ascii="Arial" w:eastAsia="Calibri" w:hAnsi="Arial" w:cs="Arial"/>
          <w:b/>
          <w:i/>
          <w:sz w:val="24"/>
        </w:rPr>
        <w:t>Acórdão n.º 718/2011-Plenário, TC-000.658/2011-1, rel. Min. Valmir Campelo, 23.03.2011.</w:t>
      </w:r>
    </w:p>
    <w:p w:rsidR="0064492A" w:rsidRDefault="0064492A" w:rsidP="002609E2">
      <w:pPr>
        <w:spacing w:before="120" w:after="240" w:line="360" w:lineRule="auto"/>
        <w:jc w:val="both"/>
        <w:rPr>
          <w:rFonts w:ascii="Arial" w:eastAsia="Calibri" w:hAnsi="Arial" w:cs="Arial"/>
          <w:b/>
          <w:i/>
          <w:sz w:val="24"/>
        </w:rPr>
      </w:pPr>
    </w:p>
    <w:p w:rsidR="0064492A" w:rsidRDefault="0064492A" w:rsidP="0064492A">
      <w:pPr>
        <w:spacing w:before="120" w:after="240" w:line="360" w:lineRule="auto"/>
        <w:jc w:val="center"/>
        <w:rPr>
          <w:rFonts w:ascii="Arial" w:eastAsia="Calibri" w:hAnsi="Arial" w:cs="Arial"/>
          <w:b/>
          <w:sz w:val="32"/>
        </w:rPr>
      </w:pPr>
      <w:r>
        <w:rPr>
          <w:rFonts w:ascii="Arial" w:eastAsia="Calibri" w:hAnsi="Arial" w:cs="Arial"/>
          <w:b/>
          <w:sz w:val="32"/>
        </w:rPr>
        <w:t>57.</w:t>
      </w:r>
    </w:p>
    <w:p w:rsidR="0064492A" w:rsidRPr="0064492A" w:rsidRDefault="0064492A" w:rsidP="0093109F">
      <w:pPr>
        <w:spacing w:before="120" w:after="240" w:line="240" w:lineRule="auto"/>
        <w:jc w:val="both"/>
        <w:rPr>
          <w:rFonts w:ascii="Arial" w:eastAsia="Calibri" w:hAnsi="Arial" w:cs="Arial"/>
          <w:b/>
          <w:bCs/>
          <w:sz w:val="28"/>
        </w:rPr>
      </w:pPr>
      <w:r w:rsidRPr="0064492A">
        <w:rPr>
          <w:rFonts w:ascii="Arial" w:eastAsia="Calibri" w:hAnsi="Arial" w:cs="Arial"/>
          <w:b/>
          <w:bCs/>
          <w:sz w:val="24"/>
        </w:rPr>
        <w:t>Va</w:t>
      </w:r>
      <w:r w:rsidRPr="0064492A">
        <w:rPr>
          <w:rFonts w:ascii="Arial" w:eastAsia="Calibri" w:hAnsi="Arial" w:cs="Arial"/>
          <w:b/>
          <w:bCs/>
          <w:sz w:val="28"/>
        </w:rPr>
        <w:t xml:space="preserve">lores correspondentes a serviços de mobilização/desmobilização devem constar da planilha de custos diretos </w:t>
      </w:r>
    </w:p>
    <w:p w:rsidR="0064492A" w:rsidRDefault="0064492A" w:rsidP="0064492A">
      <w:pPr>
        <w:spacing w:before="120" w:after="240" w:line="360" w:lineRule="auto"/>
        <w:jc w:val="both"/>
        <w:rPr>
          <w:rFonts w:ascii="Arial" w:eastAsia="Calibri" w:hAnsi="Arial" w:cs="Arial"/>
          <w:b/>
          <w:bCs/>
          <w:i/>
          <w:iCs/>
          <w:sz w:val="24"/>
        </w:rPr>
      </w:pPr>
      <w:r w:rsidRPr="0064492A">
        <w:rPr>
          <w:rFonts w:ascii="Arial" w:eastAsia="Calibri" w:hAnsi="Arial" w:cs="Arial"/>
          <w:sz w:val="24"/>
        </w:rPr>
        <w:t>Mediante pedido de reexame, o recorrente insurge-se contra o Acórdão nº 1.851/2009 -Plenário, resultante de apreciação originária de representação na qual foi mantido o entendimento de que deveria ser excluído, da composição do BDI incidente sobre os custos de equipamentos e serviços do Contrato nº 017/SRH/2008, o percentual referente à mobilização/desmobilização, tendo em vista que tais serviços também constariam como item da planilha orçamentária. Na instrução inicial, a unidade técnica identificou o que nominou de reincidência dos custos com mobilização/desmobilização, referindo-se a percentual de 0,5% com esses serviços na composição do BDI, constantes, também, na planilha do orçamento. A questão levou à ponderação por parte da unidade instrutiva de que a fração deveria “</w:t>
      </w:r>
      <w:r w:rsidRPr="0064492A">
        <w:rPr>
          <w:rFonts w:ascii="Arial" w:eastAsia="Calibri" w:hAnsi="Arial" w:cs="Arial"/>
          <w:i/>
          <w:iCs/>
          <w:sz w:val="24"/>
        </w:rPr>
        <w:t>ser objeto de correção, mediante o seu expurgo</w:t>
      </w:r>
      <w:r w:rsidRPr="0064492A">
        <w:rPr>
          <w:rFonts w:ascii="Arial" w:eastAsia="Calibri" w:hAnsi="Arial" w:cs="Arial"/>
          <w:sz w:val="24"/>
        </w:rPr>
        <w:t xml:space="preserve">”, motivando-a a propor determinação nesse sentido. Na presente etapa processual, o relator, ao examinar a matéria, destacou não vislumbrar </w:t>
      </w:r>
      <w:r w:rsidRPr="0064492A">
        <w:rPr>
          <w:rFonts w:ascii="Arial" w:eastAsia="Calibri" w:hAnsi="Arial" w:cs="Arial"/>
          <w:sz w:val="24"/>
        </w:rPr>
        <w:lastRenderedPageBreak/>
        <w:t>que a inclusão de percentual referente a serviços de mobilização/desmobilização na composição do BDI, a despeito da existência de item específico com esses serviços na planilha orçamentária, significasse algum tipo de manobra do recorrente, vencedor da licitação que culminou no Contrato nº 017/SRH/2008, para burlar o edital ou com o intento de diminuir a transparência da sua proposta e facilitar o sobrepreço. Haveria, inclusive, ainda conforme o relator, “</w:t>
      </w:r>
      <w:r w:rsidRPr="0064492A">
        <w:rPr>
          <w:rFonts w:ascii="Arial" w:eastAsia="Calibri" w:hAnsi="Arial" w:cs="Arial"/>
          <w:i/>
          <w:iCs/>
          <w:sz w:val="24"/>
        </w:rPr>
        <w:t>justificativa plausível da empresa para a distribuição de custos na sua proposta, fundada na compreensão de que o edital limitava os custos diretos com mobilização e desmobilização a 2% do valor ofertado para as obras civis</w:t>
      </w:r>
      <w:r w:rsidRPr="0064492A">
        <w:rPr>
          <w:rFonts w:ascii="Arial" w:eastAsia="Calibri" w:hAnsi="Arial" w:cs="Arial"/>
          <w:sz w:val="24"/>
        </w:rPr>
        <w:t>”. Tal fato seria devido a interpretação razoável de cláusulas editalícias por parte do contratado, o qual, no ponto de vista do relator, agira com zelo ao trazer a matéria ao deslinde do TCU. Ademais, reforçou o relator, “</w:t>
      </w:r>
      <w:r w:rsidRPr="0064492A">
        <w:rPr>
          <w:rFonts w:ascii="Arial" w:eastAsia="Calibri" w:hAnsi="Arial" w:cs="Arial"/>
          <w:i/>
          <w:iCs/>
          <w:sz w:val="24"/>
        </w:rPr>
        <w:t>mais relevante é que a licitação e a assinatura do Contrato nº 017/SRH/2008 são anteriores à decisão do Tribunal que firmou entendimento no sentido de que os custos com mobilização/desmobilização não deveriam constar do BDI</w:t>
      </w:r>
      <w:r w:rsidRPr="0064492A">
        <w:rPr>
          <w:rFonts w:ascii="Arial" w:eastAsia="Calibri" w:hAnsi="Arial" w:cs="Arial"/>
          <w:sz w:val="24"/>
        </w:rPr>
        <w:t xml:space="preserve">”, e a partir da qual o Tribunal passou a determinar a celebração de aditivos contratuais, de modo que os valores correspondentes a serviços de mobilização/desmobilização passassem a constar da planilha de custos diretos, ou então, conforme o caso, que, em futuras licitações, as instituições públicas contratantes exijam dos licitantes a apresentação de propostas nos termos estabelecidos na decisão de referência. Por conseguinte, ante as evidências de boa-fé na conduta do recorrente e considerando que o deslocamento dos valores dos serviços de mobilização/desmobilização cotados no BDI para a planilha de custos diretos não resultaria em sobrepreço ou violação às regras do edital, votou o relator no sentido de autorizar a transferência em questão, no que foi acompanhado pelo Plenário. Precedente citado: Acórdão </w:t>
      </w:r>
      <w:bookmarkStart w:id="4" w:name="OLE_LINK2"/>
      <w:bookmarkStart w:id="5" w:name="OLE_LINK1"/>
      <w:bookmarkEnd w:id="4"/>
      <w:bookmarkEnd w:id="5"/>
      <w:r w:rsidRPr="0064492A">
        <w:rPr>
          <w:rFonts w:ascii="Arial" w:eastAsia="Calibri" w:hAnsi="Arial" w:cs="Arial"/>
          <w:sz w:val="24"/>
        </w:rPr>
        <w:t xml:space="preserve">325/2007, do Plenário. </w:t>
      </w:r>
      <w:r w:rsidRPr="0064492A">
        <w:rPr>
          <w:rFonts w:ascii="Arial" w:eastAsia="Calibri" w:hAnsi="Arial" w:cs="Arial"/>
          <w:b/>
          <w:bCs/>
          <w:i/>
          <w:iCs/>
          <w:sz w:val="24"/>
        </w:rPr>
        <w:t>Acórdão n.º 883/2011-Plenário, TC-029.359/2008-8, rel. Min. José Múcio Monteiro, 06.04.2011.</w:t>
      </w:r>
    </w:p>
    <w:p w:rsidR="001915FA" w:rsidRDefault="001915FA" w:rsidP="0068243F">
      <w:pPr>
        <w:spacing w:before="120" w:after="240" w:line="360" w:lineRule="auto"/>
        <w:jc w:val="both"/>
        <w:rPr>
          <w:rFonts w:ascii="Arial" w:eastAsia="Calibri" w:hAnsi="Arial" w:cs="Arial"/>
          <w:b/>
          <w:bCs/>
          <w:i/>
          <w:iCs/>
          <w:sz w:val="24"/>
        </w:rPr>
      </w:pPr>
    </w:p>
    <w:p w:rsidR="001915FA" w:rsidRDefault="001915FA" w:rsidP="0068243F">
      <w:pPr>
        <w:spacing w:before="120" w:after="240" w:line="360" w:lineRule="auto"/>
        <w:jc w:val="center"/>
        <w:rPr>
          <w:rFonts w:ascii="Arial" w:eastAsia="Calibri" w:hAnsi="Arial" w:cs="Arial"/>
          <w:b/>
          <w:bCs/>
          <w:iCs/>
          <w:sz w:val="32"/>
        </w:rPr>
      </w:pPr>
      <w:r>
        <w:rPr>
          <w:rFonts w:ascii="Arial" w:eastAsia="Calibri" w:hAnsi="Arial" w:cs="Arial"/>
          <w:b/>
          <w:bCs/>
          <w:iCs/>
          <w:sz w:val="32"/>
        </w:rPr>
        <w:t>58.</w:t>
      </w:r>
    </w:p>
    <w:p w:rsidR="001915FA" w:rsidRPr="001915FA" w:rsidRDefault="001915FA" w:rsidP="0068243F">
      <w:pPr>
        <w:spacing w:before="120" w:after="240" w:line="360" w:lineRule="auto"/>
        <w:jc w:val="both"/>
        <w:rPr>
          <w:rFonts w:ascii="Arial" w:eastAsia="Calibri" w:hAnsi="Arial" w:cs="Arial"/>
          <w:b/>
          <w:bCs/>
          <w:iCs/>
          <w:sz w:val="28"/>
        </w:rPr>
      </w:pPr>
      <w:r w:rsidRPr="001915FA">
        <w:rPr>
          <w:rFonts w:ascii="Arial" w:eastAsia="Calibri" w:hAnsi="Arial" w:cs="Arial"/>
          <w:b/>
          <w:bCs/>
          <w:iCs/>
          <w:sz w:val="28"/>
        </w:rPr>
        <w:lastRenderedPageBreak/>
        <w:t>Na dispensa de licitação amparada no art. 24, inc. IV, da Lei 8.666/1993 podem ser utilizados projetos básicos que não contemplem todos os elementos previstos no art. 6º, inc. IX da mesma norma, sendo que a contratação direta deve estar restrita somente à parcela mínima necessária para afastar a concretização do dano ou a perda dos serviços executados</w:t>
      </w:r>
    </w:p>
    <w:p w:rsidR="001915FA" w:rsidRDefault="001915FA" w:rsidP="0068243F">
      <w:pPr>
        <w:spacing w:after="0" w:line="360" w:lineRule="auto"/>
        <w:jc w:val="both"/>
        <w:rPr>
          <w:rFonts w:ascii="Arial" w:eastAsia="Calibri" w:hAnsi="Arial" w:cs="Arial"/>
          <w:bCs/>
          <w:iCs/>
          <w:sz w:val="24"/>
        </w:rPr>
      </w:pPr>
      <w:r w:rsidRPr="001915FA">
        <w:rPr>
          <w:rFonts w:ascii="Arial" w:eastAsia="Calibri" w:hAnsi="Arial" w:cs="Arial"/>
          <w:bCs/>
          <w:iCs/>
          <w:sz w:val="24"/>
        </w:rPr>
        <w:t>Por intermédio de embargos de declaração, o Departamento Nacional de Infraestrutura de Transportes – (DNIT), manifestou seu inconformismo em face do Acórdão nº 614/2010, do Plenário, no qual se apreciou pedido de reexame interposto contra o Acórdão nº 1644/2008-Plenário, que, por sua vez, concedeu parcial provimento ao recurso, dando a seguinte redação ao item da deliberação originária: “</w:t>
      </w:r>
      <w:r w:rsidRPr="001915FA">
        <w:rPr>
          <w:rFonts w:ascii="Arial" w:eastAsia="Calibri" w:hAnsi="Arial" w:cs="Arial"/>
          <w:bCs/>
          <w:i/>
          <w:iCs/>
          <w:sz w:val="24"/>
        </w:rPr>
        <w:t>1.6. determinar ao DNIT que, mesmo em obras emergenciais, providencie projeto básico com todos os elementos do art. 6º, inciso IX, da Lei nº 8.666/93, em obediência ao art. 7º, § 2º, inciso II, e 9º, da Lei nº 8.666/1993, sob pena anulação dos contratos com base no § 6º do mesmo artigo, ressalvando, para o caso de obras emergenciais de baixa complexidade executiva, em caráter excepcional, a possibilidade de substituição do projeto básico por planilha estimativa, desde que esta se encontre devidamente fundamentada em relatório técnico”</w:t>
      </w:r>
      <w:r w:rsidRPr="001915FA">
        <w:rPr>
          <w:rFonts w:ascii="Arial" w:eastAsia="Calibri" w:hAnsi="Arial" w:cs="Arial"/>
          <w:bCs/>
          <w:iCs/>
          <w:sz w:val="24"/>
        </w:rPr>
        <w:t>. Na presente etapa processual, o DNIT, ao buscar o esclarecimento da decisão embargada, argumentou que a elaboração do projeto básico previamente ao início de obras emergenciais seria algo inconveniente e temerário, sob a ótica do interesse público, e que nem sempre poderia se aguardar tal providência. Situações dessa natureza, emergenciais, poderiam acontecer mesmo em caso de obras que não se limitassem a uma menor complexidade, única situação que restou excepcionada na determinação contida no item 1.6 do Acórdão nº 1644/2008-Plenário, com a redação conferida pelo Acórdão nº 614/2010-Plenário. Para o relator, de fato, “</w:t>
      </w:r>
      <w:r w:rsidRPr="001915FA">
        <w:rPr>
          <w:rFonts w:ascii="Arial" w:eastAsia="Calibri" w:hAnsi="Arial" w:cs="Arial"/>
          <w:bCs/>
          <w:i/>
          <w:iCs/>
          <w:sz w:val="24"/>
        </w:rPr>
        <w:t>várias situações emergenciais podem reclamar obras mais complexas, em que a prévia concepção do projeto básico não poderia ser exigida</w:t>
      </w:r>
      <w:r w:rsidRPr="001915FA">
        <w:rPr>
          <w:rFonts w:ascii="Arial" w:eastAsia="Calibri" w:hAnsi="Arial" w:cs="Arial"/>
          <w:bCs/>
          <w:iCs/>
          <w:sz w:val="24"/>
        </w:rPr>
        <w:t xml:space="preserve">”. Assim, por um lado, em conformidade com os questionamentos de ordem prática do DNIT, em casos de emergência, seria aceitável se admitir o início das obras, de maneira justificada, antes da conclusão do projeto básico, </w:t>
      </w:r>
      <w:r w:rsidRPr="001915FA">
        <w:rPr>
          <w:rFonts w:ascii="Arial" w:eastAsia="Calibri" w:hAnsi="Arial" w:cs="Arial"/>
          <w:bCs/>
          <w:iCs/>
          <w:sz w:val="24"/>
        </w:rPr>
        <w:lastRenderedPageBreak/>
        <w:t>o qual deveria ser concluído com a maior brevidade possível. Poder-se-ia, em consequência, admitir que o projeto básico fosse elaborado concomitantemente com a obra. Por outro lado, entendeu o relator que, “</w:t>
      </w:r>
      <w:r w:rsidRPr="001915FA">
        <w:rPr>
          <w:rFonts w:ascii="Arial" w:eastAsia="Calibri" w:hAnsi="Arial" w:cs="Arial"/>
          <w:bCs/>
          <w:i/>
          <w:iCs/>
          <w:sz w:val="24"/>
        </w:rPr>
        <w:t xml:space="preserve">em certas situações devidamente justificadas, também pode ser permitida a simplificação do projeto básico”, </w:t>
      </w:r>
      <w:r w:rsidRPr="001915FA">
        <w:rPr>
          <w:rFonts w:ascii="Arial" w:eastAsia="Calibri" w:hAnsi="Arial" w:cs="Arial"/>
          <w:bCs/>
          <w:iCs/>
          <w:sz w:val="24"/>
        </w:rPr>
        <w:t>pois “</w:t>
      </w:r>
      <w:r w:rsidRPr="001915FA">
        <w:rPr>
          <w:rFonts w:ascii="Arial" w:eastAsia="Calibri" w:hAnsi="Arial" w:cs="Arial"/>
          <w:bCs/>
          <w:i/>
          <w:iCs/>
          <w:sz w:val="24"/>
        </w:rPr>
        <w:t>não seria razoável exigir a presença de todos os elementos que definem um projeto básico elaborado em situações normais, podendo, portanto, existir casos em que alguns de seus aspectos possam não ser atendidos</w:t>
      </w:r>
      <w:r w:rsidRPr="001915FA">
        <w:rPr>
          <w:rFonts w:ascii="Arial" w:eastAsia="Calibri" w:hAnsi="Arial" w:cs="Arial"/>
          <w:bCs/>
          <w:iCs/>
          <w:sz w:val="24"/>
        </w:rPr>
        <w:t>”. Aditou, ainda, pela necessidade de se integrar o julgado anterior por meio dos presentes embargos, de modo a deixar claro que, em atendimento ao inciso IV do art. 24 da Lei nº 8.666/1993, “</w:t>
      </w:r>
      <w:r w:rsidRPr="001915FA">
        <w:rPr>
          <w:rFonts w:ascii="Arial" w:eastAsia="Calibri" w:hAnsi="Arial" w:cs="Arial"/>
          <w:bCs/>
          <w:i/>
          <w:iCs/>
          <w:sz w:val="24"/>
        </w:rPr>
        <w:t>a contratação direta deve se restringir somente à parcela mínima necessária para afastar a concretização do dano ou a perda dos serviços executados, devendo a solução definitiva, conforme o caso, ser objeto de licitação formal, baseada em projeto básico dotado, inexoravelmente, de todos os elementos do art. 6º, inc. IX da Lei nº 8.666/1993</w:t>
      </w:r>
      <w:r w:rsidRPr="001915FA">
        <w:rPr>
          <w:rFonts w:ascii="Arial" w:eastAsia="Calibri" w:hAnsi="Arial" w:cs="Arial"/>
          <w:bCs/>
          <w:iCs/>
          <w:sz w:val="24"/>
        </w:rPr>
        <w:t>”. Votou, então, por que se atribuísse nova redação ao item 1.6 do Acórdão n.º 1644/2008 – Plenário, para que o mesmo contemplasse todas as análises procedidas nesta etapa do processo, no que foi acompanhado pelos demais membros do Plenário.</w:t>
      </w:r>
    </w:p>
    <w:p w:rsidR="001915FA" w:rsidRDefault="001915FA" w:rsidP="0068243F">
      <w:pPr>
        <w:spacing w:after="0" w:line="360" w:lineRule="auto"/>
        <w:jc w:val="both"/>
        <w:rPr>
          <w:rFonts w:ascii="Arial" w:eastAsia="Calibri" w:hAnsi="Arial" w:cs="Arial"/>
          <w:b/>
          <w:bCs/>
          <w:i/>
          <w:iCs/>
          <w:sz w:val="24"/>
        </w:rPr>
      </w:pPr>
      <w:r w:rsidRPr="001915FA">
        <w:rPr>
          <w:rFonts w:ascii="Arial" w:eastAsia="Calibri" w:hAnsi="Arial" w:cs="Arial"/>
          <w:b/>
          <w:bCs/>
          <w:i/>
          <w:iCs/>
          <w:sz w:val="24"/>
        </w:rPr>
        <w:t>Acórdão n.º 943/2011-Plenário, TC-007.965/2008-1, rel. Min. Valmir Campelo, 13.04.2011.</w:t>
      </w:r>
    </w:p>
    <w:p w:rsidR="001915FA" w:rsidRDefault="001915FA" w:rsidP="0068243F">
      <w:pPr>
        <w:spacing w:before="120" w:after="240" w:line="360" w:lineRule="auto"/>
        <w:jc w:val="both"/>
        <w:rPr>
          <w:rFonts w:ascii="Arial" w:eastAsia="Calibri" w:hAnsi="Arial" w:cs="Arial"/>
          <w:b/>
          <w:bCs/>
          <w:i/>
          <w:iCs/>
          <w:sz w:val="24"/>
        </w:rPr>
      </w:pPr>
    </w:p>
    <w:p w:rsidR="001915FA" w:rsidRDefault="001915FA" w:rsidP="0068243F">
      <w:pPr>
        <w:pStyle w:val="TCU-RelVoto-1"/>
        <w:tabs>
          <w:tab w:val="left" w:pos="1134"/>
        </w:tabs>
        <w:spacing w:after="0" w:line="360" w:lineRule="auto"/>
        <w:ind w:firstLine="0"/>
        <w:rPr>
          <w:rFonts w:ascii="Arial" w:hAnsi="Arial" w:cs="Arial"/>
          <w:b/>
          <w:sz w:val="28"/>
          <w:lang w:eastAsia="pt-BR"/>
        </w:rPr>
      </w:pPr>
      <w:r w:rsidRPr="001915FA">
        <w:rPr>
          <w:rFonts w:ascii="Arial" w:hAnsi="Arial" w:cs="Arial"/>
          <w:b/>
          <w:sz w:val="28"/>
          <w:lang w:eastAsia="pt-BR"/>
        </w:rPr>
        <w:t>A revogação de processo licitatório é condicionada à ocorrência de fato superveniente, devidamente comprovado, que justifique tal medida</w:t>
      </w:r>
    </w:p>
    <w:p w:rsidR="000419B9" w:rsidRPr="001915FA" w:rsidRDefault="000419B9" w:rsidP="0068243F">
      <w:pPr>
        <w:pStyle w:val="TCU-RelVoto-1"/>
        <w:tabs>
          <w:tab w:val="left" w:pos="1134"/>
        </w:tabs>
        <w:spacing w:after="0" w:line="360" w:lineRule="auto"/>
        <w:ind w:firstLine="0"/>
        <w:rPr>
          <w:rFonts w:ascii="Arial" w:hAnsi="Arial" w:cs="Arial"/>
          <w:b/>
          <w:sz w:val="28"/>
          <w:lang w:eastAsia="pt-BR"/>
        </w:rPr>
      </w:pPr>
    </w:p>
    <w:p w:rsidR="001915FA" w:rsidRPr="001915FA" w:rsidRDefault="001915FA" w:rsidP="0068243F">
      <w:pPr>
        <w:pStyle w:val="TCU-RelVoto-1"/>
        <w:tabs>
          <w:tab w:val="left" w:pos="1134"/>
        </w:tabs>
        <w:spacing w:after="0" w:line="360" w:lineRule="auto"/>
        <w:ind w:firstLine="0"/>
        <w:rPr>
          <w:rFonts w:ascii="Arial" w:hAnsi="Arial" w:cs="Arial"/>
          <w:lang w:eastAsia="pt-BR"/>
        </w:rPr>
      </w:pPr>
      <w:r w:rsidRPr="001915FA">
        <w:rPr>
          <w:rFonts w:ascii="Arial" w:hAnsi="Arial" w:cs="Arial"/>
          <w:lang w:eastAsia="pt-BR"/>
        </w:rPr>
        <w:t>“</w:t>
      </w:r>
      <w:r w:rsidRPr="001915FA">
        <w:rPr>
          <w:rFonts w:ascii="Arial" w:hAnsi="Arial" w:cs="Arial"/>
          <w:i/>
          <w:lang w:eastAsia="pt-BR"/>
        </w:rPr>
        <w:t>A licitação somente pode ser revogada por razões de interesse público decorrente de fato superveniente devidamente comprovado</w:t>
      </w:r>
      <w:r w:rsidRPr="001915FA">
        <w:rPr>
          <w:rFonts w:ascii="Arial" w:hAnsi="Arial" w:cs="Arial"/>
          <w:lang w:eastAsia="pt-BR"/>
        </w:rPr>
        <w:t xml:space="preserve">.” Foi essa uma das conclusões a que chegou o TCU ao apreciar representação que lhe foi oferecida em razão da revogação parcial da Concorrência nº 031/2008, conduzida pela Eletrobras – Distribuição Piauí (Companhia Energética do Piauí – CEPISA), que visava à contratação de escritório de advocacia para a prestação de serviços jurídicos e a contratação, por dispensa de licitação, de </w:t>
      </w:r>
      <w:r w:rsidRPr="001915FA">
        <w:rPr>
          <w:rFonts w:ascii="Arial" w:hAnsi="Arial" w:cs="Arial"/>
          <w:lang w:eastAsia="pt-BR"/>
        </w:rPr>
        <w:lastRenderedPageBreak/>
        <w:t>pessoa jurídica para a prestação de parte dos serviços objeto da referida concorrência. No lote nº 2 do certame, destinado à contratação de serviços advocatícios nas áreas trabalhista e previdenciária, uma empresa restou inabilitada, em face de decisão judicial. Cerca de três meses depois da decisão judicial, tal empresa foi contratada por dispensa de licitação, em caráter emergencial. Em seguida, os dirigentes da Eletrobras teriam revogado a licitação, o que, ainda para a representante, seria contraditório, pois os serviços do lote 1 da Concorrência nº 031/2008 teriam sido contratados. Promovida a audiência dos gestores Eletrobras no Piauí, foi informado ao TCU que diversas razões teriam sido causa determinante para a revogação do lote 2 do certame licitatório examinado, tais como: a análise técnica baseada no tempo de advocacia em detrimento da avaliação da experiência do escritório no que tange as ações complexas; inconsistências técnicas encontradas no edital; as mudanças na estrutura corporativa da entidade, etc. Para o relator, todas as causas apontadas como motivo de revogação da licitação não justificariam tal decisão, pois não consistiriam no que é exigido pela Lei 8.666/1993 para tanto: fato superveniente, devidamente comprovado (art. 49, Lei 8.666/1993). Ilegal, portanto, a revogação da Concorrência nº 031/2008, no modo de ver do relator. Além disso, para o relator, “</w:t>
      </w:r>
      <w:r w:rsidRPr="001915FA">
        <w:rPr>
          <w:rFonts w:ascii="Arial" w:hAnsi="Arial" w:cs="Arial"/>
          <w:i/>
          <w:lang w:eastAsia="pt-BR"/>
        </w:rPr>
        <w:t>está cabalmente demonstrado nos autos o interesse da Eletrobras – Distribuição Piauí em contratar escritórios que prestem serviços advocatícios nas áreas trabalhista e previdenciária, tendo em vista as contratações emergenciais e a abertura da Concorrência 1/2011, todas com o mesmo objeto da licitação revogada</w:t>
      </w:r>
      <w:r w:rsidRPr="001915FA">
        <w:rPr>
          <w:rFonts w:ascii="Arial" w:hAnsi="Arial" w:cs="Arial"/>
          <w:lang w:eastAsia="pt-BR"/>
        </w:rPr>
        <w:t>”. Por conseguinte, votou por que se fosse determinado à Eletrobras – Distribuição Piauí que tornasse insubsistente o ato que revogou a Concorrência 031/2008, Lote 2, por falta de amparo legal, sem prejuízo da adoção de outras medidas, com vistas à correção da situação examinada, no que foi acompanhado pelo Plenário.</w:t>
      </w:r>
    </w:p>
    <w:p w:rsidR="001915FA" w:rsidRPr="001915FA" w:rsidRDefault="001915FA" w:rsidP="0068243F">
      <w:pPr>
        <w:spacing w:after="0" w:line="360" w:lineRule="auto"/>
        <w:jc w:val="both"/>
        <w:rPr>
          <w:rFonts w:ascii="Arial" w:eastAsia="Calibri" w:hAnsi="Arial" w:cs="Arial"/>
          <w:bCs/>
          <w:iCs/>
          <w:sz w:val="24"/>
        </w:rPr>
      </w:pPr>
      <w:r w:rsidRPr="001915FA">
        <w:rPr>
          <w:rFonts w:ascii="Arial" w:eastAsia="Calibri" w:hAnsi="Arial" w:cs="Arial"/>
          <w:b/>
          <w:bCs/>
          <w:i/>
          <w:iCs/>
          <w:sz w:val="24"/>
        </w:rPr>
        <w:t>Acórdão n.º 955/2011-Plenário, TC-001.223/2011-4, rel. Min. Raimundo Carreiro, 13.04.2011.</w:t>
      </w:r>
    </w:p>
    <w:p w:rsidR="001915FA" w:rsidRDefault="001915FA" w:rsidP="0068243F">
      <w:pPr>
        <w:spacing w:before="120" w:after="240" w:line="360" w:lineRule="auto"/>
        <w:jc w:val="both"/>
        <w:rPr>
          <w:rFonts w:ascii="Arial" w:eastAsia="Calibri" w:hAnsi="Arial" w:cs="Arial"/>
          <w:bCs/>
          <w:iCs/>
          <w:sz w:val="32"/>
        </w:rPr>
      </w:pPr>
    </w:p>
    <w:p w:rsidR="001915FA" w:rsidRPr="001915FA" w:rsidRDefault="001915FA" w:rsidP="0068243F">
      <w:pPr>
        <w:spacing w:before="120" w:after="240" w:line="360" w:lineRule="auto"/>
        <w:jc w:val="both"/>
        <w:rPr>
          <w:rFonts w:ascii="Arial" w:eastAsia="Calibri" w:hAnsi="Arial" w:cs="Arial"/>
          <w:b/>
          <w:bCs/>
          <w:iCs/>
          <w:sz w:val="28"/>
        </w:rPr>
      </w:pPr>
      <w:r w:rsidRPr="001915FA">
        <w:rPr>
          <w:rFonts w:ascii="Arial" w:eastAsia="Calibri" w:hAnsi="Arial" w:cs="Arial"/>
          <w:b/>
          <w:bCs/>
          <w:iCs/>
          <w:sz w:val="28"/>
        </w:rPr>
        <w:lastRenderedPageBreak/>
        <w:t xml:space="preserve">Licitação na modalidade pregão: 1 – A exigência de atestado de capacidade técnica deve ser justificável em razão do objeto licitado </w:t>
      </w:r>
    </w:p>
    <w:p w:rsidR="001915FA" w:rsidRDefault="001915FA" w:rsidP="0068243F">
      <w:pPr>
        <w:spacing w:after="0" w:line="360" w:lineRule="auto"/>
        <w:jc w:val="both"/>
        <w:rPr>
          <w:rFonts w:ascii="Arial" w:eastAsia="Calibri" w:hAnsi="Arial" w:cs="Arial"/>
          <w:b/>
          <w:bCs/>
          <w:i/>
          <w:iCs/>
          <w:sz w:val="24"/>
        </w:rPr>
      </w:pPr>
      <w:r w:rsidRPr="00CB36BF">
        <w:rPr>
          <w:rFonts w:ascii="Arial" w:eastAsia="Times New Roman" w:hAnsi="Arial" w:cs="Arial"/>
          <w:sz w:val="24"/>
          <w:lang w:eastAsia="pt-BR"/>
        </w:rPr>
        <w:t>Representação noticiou ao Tribunal possíveis irregularidades no Pregão Presencial nº 4/2011, conduzido pela Valec Engenharia, Construções e Ferrovias S.A.- (Valec), cujo objeto consistiu no fornecimento de quase 245 mil toneladas de trilhos UIC-60 a serem empregados na construção da EF-334 – Ferrovia de Integração Oeste-Leste (Fiol), no trecho de Ilhéus/BA a Barreiras/BA, e na extensão sul da EF-151 − Ferrovia Norte-Sul (FNS). Dentre tais irregularidades, constou a exigência editalícia de atestado de capacidade técnica relativo a fornecimento anterior de quantidades iguais ou superiores a 110.000 (cento e dez mil toneladas), correspondente a 44,97% do total da aquisição prevista, o que teria restringido a competitividade do certame. Ouvidos em audiência, a Valec e a empresa vencedora do certame alegaram que tal exigência seria admissível, uma vez que se situaria um pouco abaixo dos 50% que vem sendo considerado aceitável pela jurisprudência do TCU. Porém, para o relator, “além de tais percentuais não poderem ser comparados de forma isolada, sem a análise de outros fatores, a exigência de atestado de fornecimento da referida quantidade – admitindo-se, inclusive, a soma de atestados – não encontra, a meu ver, qualquer respaldo técnico”. Nesse quadro, citou outras oportunidades em que, em uma, a própria Valec estipulou a simples apresentação de atestado de fornecimento destes bens como requisito de qualificação, sem quantitativo mínimo, e, em outra, fixou a comprovação de execução anterior equivalente a apenas 20% do quantitativo pretendido. Em tais situações, para o relator, grandes somas também foram dispendidas pela contratante, o que tornaria pouco razoável o argumento de que, das outras vezes, os pregões eram de valores menores ou não representativos quando comparados com o pregão em análise. Assim, a exigência de qualificação impugnada seria inadmissível, e poderia, efetivamente, ter contribuído para a restrição indevida da competitividade do certame. Contudo, como, nesta etapa processual, a apreciação por parte do Tribunal ainda não ocorreria de forma conclusiva, votou o relator por que, primeiramente, os responsáveis fossem ouvidos em audiência, para que, ao fim, o Tribunal se pronunciasse quanto ao mérito da representação, o que foi acolhido pelo Plenário. Precedentes citados: Acórdãos nos 2.088/2004, 784/2006, 2.656/2007, 2.297/2007, 2.215/2008, 2.625/2008, 717/2010 e 1.432/2010, todos do Plenário.</w:t>
      </w:r>
      <w:r w:rsidRPr="001915FA">
        <w:rPr>
          <w:rFonts w:ascii="Arial" w:eastAsia="Calibri" w:hAnsi="Arial" w:cs="Arial"/>
          <w:bCs/>
          <w:iCs/>
          <w:sz w:val="24"/>
        </w:rPr>
        <w:t xml:space="preserve"> </w:t>
      </w:r>
      <w:r w:rsidRPr="001915FA">
        <w:rPr>
          <w:rFonts w:ascii="Arial" w:eastAsia="Calibri" w:hAnsi="Arial" w:cs="Arial"/>
          <w:b/>
          <w:bCs/>
          <w:i/>
          <w:iCs/>
          <w:sz w:val="24"/>
        </w:rPr>
        <w:t>Acórdão nº 933/2011-Plenário, TC-004.513/2011-8, rel. Min-Subst. André Luís Carvalho, 13.04.2011.</w:t>
      </w:r>
    </w:p>
    <w:p w:rsidR="00CB36BF" w:rsidRDefault="00CB36BF" w:rsidP="0068243F">
      <w:pPr>
        <w:spacing w:before="120" w:after="240" w:line="360" w:lineRule="auto"/>
        <w:jc w:val="both"/>
        <w:rPr>
          <w:rFonts w:ascii="Arial" w:eastAsia="Calibri" w:hAnsi="Arial" w:cs="Arial"/>
          <w:b/>
          <w:bCs/>
          <w:i/>
          <w:iCs/>
          <w:sz w:val="24"/>
        </w:rPr>
      </w:pPr>
    </w:p>
    <w:p w:rsidR="001915FA" w:rsidRPr="001915FA" w:rsidRDefault="001915FA" w:rsidP="0068243F">
      <w:pPr>
        <w:spacing w:before="120" w:after="240" w:line="360" w:lineRule="auto"/>
        <w:jc w:val="both"/>
        <w:rPr>
          <w:rFonts w:ascii="Arial" w:eastAsia="Calibri" w:hAnsi="Arial" w:cs="Arial"/>
          <w:b/>
          <w:bCs/>
          <w:iCs/>
          <w:sz w:val="28"/>
        </w:rPr>
      </w:pPr>
      <w:r w:rsidRPr="001915FA">
        <w:rPr>
          <w:rFonts w:ascii="Arial" w:eastAsia="Calibri" w:hAnsi="Arial" w:cs="Arial"/>
          <w:b/>
          <w:bCs/>
          <w:iCs/>
          <w:sz w:val="28"/>
        </w:rPr>
        <w:t>Licitação na modalidade pregão: 2 – A ausência da composição unitária do orçamento-base gera insegurança quanto à confiabilidade do preço de referência, razão pela qual, apesar de não ser elemento obrigatório do edital, deve estar compulsoriamente inserido no processo relativo ao certame</w:t>
      </w:r>
    </w:p>
    <w:p w:rsidR="001915FA" w:rsidRDefault="001915FA" w:rsidP="0068243F">
      <w:pPr>
        <w:spacing w:before="120" w:after="240" w:line="360" w:lineRule="auto"/>
        <w:jc w:val="both"/>
        <w:rPr>
          <w:rFonts w:ascii="Arial" w:eastAsia="Calibri" w:hAnsi="Arial" w:cs="Arial"/>
          <w:b/>
          <w:bCs/>
          <w:i/>
          <w:iCs/>
          <w:sz w:val="24"/>
        </w:rPr>
      </w:pPr>
      <w:r w:rsidRPr="001915FA">
        <w:rPr>
          <w:rFonts w:ascii="Arial" w:eastAsia="Calibri" w:hAnsi="Arial" w:cs="Arial"/>
          <w:bCs/>
          <w:iCs/>
          <w:sz w:val="24"/>
        </w:rPr>
        <w:t>Ainda na representação que noticiou ao Tribunal possíveis irregularidades no Pregão Presencial nº 4/2011, conduzido pela Valec Engenharia, Construções e Ferrovias S.A.- (Valec), e cujo objeto consistiu no fornecimento de quase 245 mil toneladas de trilhos UIC-60 a serem empregados na construção da EF-334 – Ferrovia de Integração Oeste-Leste (Fiol), no trecho de Ilhéus/BA a Barreiras/BA, e na extensão sul da EF-151 − Ferrovia Norte-Sul (FNS), apurou-se a não composição dos custos unitários no orçamento-base no edital de referência, o que teria inibido a participação dos licitantes, em virtude da formação do preço não se apresentar de maneira transparente, resultando, ainda, em dificuldades no controle e aferição dos preços propostos. Em suas defesas, a Valec e a licitante vencedora do certame, apoiadas em julgados do Tribunal, afirmaram que, no caso de licitação na modalidade pregão, seria dispensada a apresentação da referida composição de preços, exigindo-se apenas o orçamento estimado em planilhas e o preço unitário. A unidade técnica, em análise a precedentes jurisprudenciais, identificou duas situações distintas. Na primeira delas, o Tribunal teria mantido o posicionamento de que, “</w:t>
      </w:r>
      <w:r w:rsidRPr="001915FA">
        <w:rPr>
          <w:rFonts w:ascii="Arial" w:eastAsia="Calibri" w:hAnsi="Arial" w:cs="Arial"/>
          <w:bCs/>
          <w:i/>
          <w:iCs/>
          <w:sz w:val="24"/>
        </w:rPr>
        <w:t>na modalidade pregão, o orçamento estimado em planilhas de quantitativos e preços unitários não constitui elemento obrigatório do edital, porém tal detalhamento deve estar obrigatoriamente inserido no processo relativo ao certame</w:t>
      </w:r>
      <w:r w:rsidRPr="001915FA">
        <w:rPr>
          <w:rFonts w:ascii="Arial" w:eastAsia="Calibri" w:hAnsi="Arial" w:cs="Arial"/>
          <w:bCs/>
          <w:iCs/>
          <w:sz w:val="24"/>
        </w:rPr>
        <w:t>”. Noutra oportunidade, a conclusão do TCU foi de que, “</w:t>
      </w:r>
      <w:r w:rsidRPr="001915FA">
        <w:rPr>
          <w:rFonts w:ascii="Arial" w:eastAsia="Calibri" w:hAnsi="Arial" w:cs="Arial"/>
          <w:bCs/>
          <w:i/>
          <w:iCs/>
          <w:sz w:val="24"/>
        </w:rPr>
        <w:t xml:space="preserve">no caso concreto, a não apresentação do orçamento detalhado no edital foi compensada com a apresentação dos elementos necessários no processo administrativo que serviu de base ao certame”. </w:t>
      </w:r>
      <w:r w:rsidRPr="001915FA">
        <w:rPr>
          <w:rFonts w:ascii="Arial" w:eastAsia="Calibri" w:hAnsi="Arial" w:cs="Arial"/>
          <w:bCs/>
          <w:iCs/>
          <w:sz w:val="24"/>
        </w:rPr>
        <w:t xml:space="preserve">No caso do Pregão nº 4/2011, nenhuma das duas situações teria sido verificada, pois </w:t>
      </w:r>
      <w:r w:rsidRPr="001915FA">
        <w:rPr>
          <w:rFonts w:ascii="Arial" w:eastAsia="Calibri" w:hAnsi="Arial" w:cs="Arial"/>
          <w:bCs/>
          <w:i/>
          <w:iCs/>
          <w:sz w:val="24"/>
        </w:rPr>
        <w:t>“não há no edital, tampouco no processo administrativo, o detalhamento do orçamento-base da Valec</w:t>
      </w:r>
      <w:r w:rsidRPr="001915FA">
        <w:rPr>
          <w:rFonts w:ascii="Arial" w:eastAsia="Calibri" w:hAnsi="Arial" w:cs="Arial"/>
          <w:bCs/>
          <w:iCs/>
          <w:sz w:val="24"/>
        </w:rPr>
        <w:t>”. Para o relator, “</w:t>
      </w:r>
      <w:r w:rsidRPr="001915FA">
        <w:rPr>
          <w:rFonts w:ascii="Arial" w:eastAsia="Calibri" w:hAnsi="Arial" w:cs="Arial"/>
          <w:bCs/>
          <w:i/>
          <w:iCs/>
          <w:sz w:val="24"/>
        </w:rPr>
        <w:t>o fato é que a ausência da composição unitária detalhada para os serviços incluídos no objeto do pregão em exame (relacionados, por exemplo, com o transporte terrestre dos trilhos, o respectivo empilhamento, dentre outros) confere insegurança quanto à confiabilidade do preço de referência</w:t>
      </w:r>
      <w:r w:rsidRPr="001915FA">
        <w:rPr>
          <w:rFonts w:ascii="Arial" w:eastAsia="Calibri" w:hAnsi="Arial" w:cs="Arial"/>
          <w:bCs/>
          <w:iCs/>
          <w:sz w:val="24"/>
        </w:rPr>
        <w:t>”, concordando, portanto, com a unidade técnica quanto à irregularidade examinada. Contudo, como, nesta etapa processual, a apreciação por parte do Tribunal ainda não ocorreria de forma conclusiva, votou o relator por que, primeiramente, os responsáveis fossem ouvidos em audiência, para que, ao fim, o Tribunal se pronunciasse quanto ao mérito da representação, o que foi acolhido pelo Plenário. Precedentes citados: Acórdãos n</w:t>
      </w:r>
      <w:r w:rsidRPr="001915FA">
        <w:rPr>
          <w:rFonts w:ascii="Arial" w:eastAsia="Calibri" w:hAnsi="Arial" w:cs="Arial"/>
          <w:bCs/>
          <w:iCs/>
          <w:sz w:val="24"/>
          <w:u w:val="single"/>
          <w:vertAlign w:val="superscript"/>
        </w:rPr>
        <w:t>os</w:t>
      </w:r>
      <w:r w:rsidRPr="001915FA">
        <w:rPr>
          <w:rFonts w:ascii="Arial" w:eastAsia="Calibri" w:hAnsi="Arial" w:cs="Arial"/>
          <w:bCs/>
          <w:iCs/>
          <w:sz w:val="24"/>
        </w:rPr>
        <w:t xml:space="preserve"> 114/2007 e 517/2009, ambos do Plenário. </w:t>
      </w:r>
      <w:r w:rsidRPr="001915FA">
        <w:rPr>
          <w:rFonts w:ascii="Arial" w:eastAsia="Calibri" w:hAnsi="Arial" w:cs="Arial"/>
          <w:b/>
          <w:bCs/>
          <w:i/>
          <w:iCs/>
          <w:sz w:val="24"/>
        </w:rPr>
        <w:t>Acórdão nº 933/2011-Plenário, TC-004.513/2011-8, rel. Min-Subst. André Luís Carvalho, 13.04.2011.</w:t>
      </w:r>
    </w:p>
    <w:p w:rsidR="007A5C63" w:rsidRDefault="007A5C63" w:rsidP="0068243F">
      <w:pPr>
        <w:spacing w:before="120" w:after="240" w:line="360" w:lineRule="auto"/>
        <w:jc w:val="both"/>
        <w:rPr>
          <w:rFonts w:ascii="Arial" w:eastAsia="Calibri" w:hAnsi="Arial" w:cs="Arial"/>
          <w:b/>
          <w:bCs/>
          <w:i/>
          <w:iCs/>
          <w:sz w:val="24"/>
        </w:rPr>
      </w:pPr>
    </w:p>
    <w:p w:rsidR="007A5C63" w:rsidRDefault="007A5C63" w:rsidP="0068243F">
      <w:pPr>
        <w:spacing w:before="120" w:after="240" w:line="360" w:lineRule="auto"/>
        <w:jc w:val="center"/>
        <w:rPr>
          <w:rFonts w:ascii="Arial" w:eastAsia="Calibri" w:hAnsi="Arial" w:cs="Arial"/>
          <w:b/>
          <w:bCs/>
          <w:iCs/>
          <w:sz w:val="32"/>
        </w:rPr>
      </w:pPr>
      <w:r>
        <w:rPr>
          <w:rFonts w:ascii="Arial" w:eastAsia="Calibri" w:hAnsi="Arial" w:cs="Arial"/>
          <w:b/>
          <w:bCs/>
          <w:iCs/>
          <w:sz w:val="32"/>
        </w:rPr>
        <w:t>59.</w:t>
      </w:r>
    </w:p>
    <w:p w:rsidR="007A5C63" w:rsidRPr="007A5C63" w:rsidRDefault="007A5C63" w:rsidP="0068243F">
      <w:pPr>
        <w:spacing w:before="120" w:after="240" w:line="360" w:lineRule="auto"/>
        <w:jc w:val="both"/>
        <w:rPr>
          <w:rFonts w:ascii="Arial" w:eastAsia="Calibri" w:hAnsi="Arial" w:cs="Arial"/>
          <w:b/>
          <w:bCs/>
          <w:iCs/>
          <w:sz w:val="28"/>
        </w:rPr>
      </w:pPr>
      <w:r w:rsidRPr="007A5C63">
        <w:rPr>
          <w:rFonts w:ascii="Arial" w:eastAsia="Calibri" w:hAnsi="Arial" w:cs="Arial"/>
          <w:b/>
          <w:bCs/>
          <w:iCs/>
          <w:sz w:val="28"/>
        </w:rPr>
        <w:t xml:space="preserve">A firmatura de termo de parceria por órgãos ou entidades da Administração Pública com Organizações da Sociedade Civil de Interesse Público não demanda licitação </w:t>
      </w:r>
    </w:p>
    <w:p w:rsidR="007A5C63" w:rsidRDefault="007A5C63" w:rsidP="0068243F">
      <w:pPr>
        <w:spacing w:before="120" w:after="240" w:line="360" w:lineRule="auto"/>
        <w:jc w:val="both"/>
        <w:rPr>
          <w:rFonts w:ascii="Arial" w:eastAsia="Calibri" w:hAnsi="Arial" w:cs="Arial"/>
          <w:b/>
          <w:bCs/>
          <w:i/>
          <w:iCs/>
          <w:sz w:val="24"/>
        </w:rPr>
      </w:pPr>
      <w:r w:rsidRPr="007A5C63">
        <w:rPr>
          <w:rFonts w:ascii="Arial" w:eastAsia="Calibri" w:hAnsi="Arial" w:cs="Arial"/>
          <w:bCs/>
          <w:iCs/>
          <w:sz w:val="24"/>
        </w:rPr>
        <w:t>Em representação formulada ao Tribunal, foram apontadas diversas irregularidades em convênios firmados entre o Ministério do Trabalho e Emprego - (MTE) e uma Organização da Sociedade Civil de Interesse Público (Oscip). Em face delas, sugeriu a unidade instrutiva que o Tribunal determinasse ao MTE e ao Ministério do Planejamento, Orçamento e Gestão que utilizassem o termo de parceria, previsto no art. 9º da Lei 9790/1999, para a execução de projetos ou programas, mediante serviços sociais prestados por entidades privadas, sempre que o objeto a ser executado se enquadrasse em um dos casos listados no art. 3º do referido normativo, sugerindo, ainda, para a firmatura do pacto, prévio e obrigatório procedimento licitatório para a escolha da entidade-parceira. O relator, todavia, deixou de acolher a parte final da proposta, que exigia licitação para a firmatura de termo de parceria. Segundo o relator, “</w:t>
      </w:r>
      <w:r w:rsidRPr="007A5C63">
        <w:rPr>
          <w:rFonts w:ascii="Arial" w:eastAsia="Calibri" w:hAnsi="Arial" w:cs="Arial"/>
          <w:bCs/>
          <w:i/>
          <w:iCs/>
          <w:sz w:val="24"/>
        </w:rPr>
        <w:t xml:space="preserve">é certo que o ajuste a ser firmado entre um órgão público e uma Oscip é o termo de parceria, nos termos da Lei nº 9.790, de 1999. </w:t>
      </w:r>
      <w:r w:rsidRPr="007A5C63">
        <w:rPr>
          <w:rFonts w:ascii="Arial" w:eastAsia="Calibri" w:hAnsi="Arial" w:cs="Arial"/>
          <w:bCs/>
          <w:iCs/>
          <w:sz w:val="24"/>
        </w:rPr>
        <w:t>Entretanto, “</w:t>
      </w:r>
      <w:r w:rsidRPr="007A5C63">
        <w:rPr>
          <w:rFonts w:ascii="Arial" w:eastAsia="Calibri" w:hAnsi="Arial" w:cs="Arial"/>
          <w:bCs/>
          <w:i/>
          <w:iCs/>
          <w:sz w:val="24"/>
        </w:rPr>
        <w:t>não há nessa lei, nem no decreto que a regulamenta (Decreto nº 3.100, de 30 de junho de 1999), qualquer disposição que obrigue os órgãos e entidades da Administração Pública a instaurar procedimento licitatório, nos termos da Lei nº 8.666, de 1993, para selecionar as Oscips interessadas em firmar o referido termo de parceria</w:t>
      </w:r>
      <w:r w:rsidRPr="007A5C63">
        <w:rPr>
          <w:rFonts w:ascii="Arial" w:eastAsia="Calibri" w:hAnsi="Arial" w:cs="Arial"/>
          <w:bCs/>
          <w:iCs/>
          <w:sz w:val="24"/>
        </w:rPr>
        <w:t>”. Além disso, destacou o relator disposição constante do art. 23 do Decreto 3.100/1999, que fixa a realização, a depender de decisão discricionária do gestor, de concurso de projetos pelo órgão estatal interessado em construir parceria com Oscips para obtenção de bens e serviços e para a realização de atividades, eventos, consultorias, cooperação técnica e assessoria. Ainda para o relator, “</w:t>
      </w:r>
      <w:r w:rsidRPr="007A5C63">
        <w:rPr>
          <w:rFonts w:ascii="Arial" w:eastAsia="Calibri" w:hAnsi="Arial" w:cs="Arial"/>
          <w:bCs/>
          <w:i/>
          <w:iCs/>
          <w:sz w:val="24"/>
        </w:rPr>
        <w:t>embora seja bastante recomendável a instauração desse procedimento - que privilegia os princípios constitucionais da moralidade e da impessoalidade -, não há como exigir que os gestores públicos promovam licitação para selecionar Oscips, visto que o ordenamento jurídico não traz esse tipo de mandamento</w:t>
      </w:r>
      <w:r w:rsidRPr="007A5C63">
        <w:rPr>
          <w:rFonts w:ascii="Arial" w:eastAsia="Calibri" w:hAnsi="Arial" w:cs="Arial"/>
          <w:bCs/>
          <w:iCs/>
          <w:sz w:val="24"/>
        </w:rPr>
        <w:t xml:space="preserve">”. Por conseguinte, em face, também, do decidido nos Acórdãos 1777/2005 e 2066/2006, do Plenário, votou por que se dirigisse alerta ao MTE e ao MPOG, para que observem o correto instrumento (termo de parceria) ao firmarem ajustes com Oscips, nos termos da Lei nº 9.790, de 1999, preferencialmente precedido por concurso de projetos, o que foi acolhido pelo Plenário. </w:t>
      </w:r>
      <w:r w:rsidRPr="007A5C63">
        <w:rPr>
          <w:rFonts w:ascii="Arial" w:eastAsia="Calibri" w:hAnsi="Arial" w:cs="Arial"/>
          <w:b/>
          <w:bCs/>
          <w:i/>
          <w:iCs/>
          <w:sz w:val="24"/>
        </w:rPr>
        <w:t>Acórdão n.º 1006/2011-Plenário, TC-019.538/2006-9, rel. Min. Ubiratan Aguiar, 20.04.2011.</w:t>
      </w:r>
    </w:p>
    <w:p w:rsidR="0052133E" w:rsidRDefault="0052133E" w:rsidP="0068243F">
      <w:pPr>
        <w:spacing w:before="120" w:after="240" w:line="360" w:lineRule="auto"/>
        <w:jc w:val="both"/>
        <w:rPr>
          <w:rFonts w:ascii="Arial" w:eastAsia="Calibri" w:hAnsi="Arial" w:cs="Arial"/>
          <w:b/>
          <w:bCs/>
          <w:i/>
          <w:iCs/>
          <w:sz w:val="24"/>
        </w:rPr>
      </w:pPr>
    </w:p>
    <w:p w:rsidR="0052133E" w:rsidRPr="0052133E" w:rsidRDefault="0052133E" w:rsidP="0068243F">
      <w:pPr>
        <w:spacing w:before="120" w:after="240" w:line="360" w:lineRule="auto"/>
        <w:jc w:val="both"/>
        <w:rPr>
          <w:rFonts w:ascii="Arial" w:eastAsia="Calibri" w:hAnsi="Arial" w:cs="Arial"/>
          <w:b/>
          <w:bCs/>
          <w:iCs/>
          <w:sz w:val="28"/>
        </w:rPr>
      </w:pPr>
      <w:r w:rsidRPr="0052133E">
        <w:rPr>
          <w:rFonts w:ascii="Arial" w:eastAsia="Calibri" w:hAnsi="Arial" w:cs="Arial"/>
          <w:b/>
          <w:bCs/>
          <w:iCs/>
          <w:sz w:val="28"/>
        </w:rPr>
        <w:t>É necessário que o valor dos salários pagos aos profissionais contratados por empresas para prestação de serviços à Administração corresponda ao constante da proposta formulada na licitação</w:t>
      </w:r>
    </w:p>
    <w:p w:rsidR="0052133E" w:rsidRPr="0052133E" w:rsidRDefault="0052133E" w:rsidP="0068243F">
      <w:pPr>
        <w:spacing w:before="120" w:after="240" w:line="360" w:lineRule="auto"/>
        <w:jc w:val="both"/>
        <w:rPr>
          <w:rFonts w:ascii="Arial" w:eastAsia="Calibri" w:hAnsi="Arial" w:cs="Arial"/>
          <w:b/>
          <w:bCs/>
          <w:i/>
          <w:iCs/>
          <w:sz w:val="24"/>
        </w:rPr>
      </w:pPr>
      <w:r w:rsidRPr="0052133E">
        <w:rPr>
          <w:rFonts w:ascii="Arial" w:eastAsia="Calibri" w:hAnsi="Arial" w:cs="Arial"/>
          <w:bCs/>
          <w:iCs/>
          <w:sz w:val="24"/>
        </w:rPr>
        <w:t>Representação encaminhada ao Tribunal tratou de possíveis irregularidades ocorridas na execução do Contrato nº 34/2009-MI, celebrado entre o Ministério da Integração Nacional - (MI) e o Consórcio Logos-Concremat 2, cujo objeto referiu-se à prestação de serviços de Consultoria Especializada para o Gerenciamento e Apoio Técnico da continuidade da implantação da 1ª Etapa e da implantação da 2ª Etapa do Projeto de Integração do Rio São Francisco com as Bacias Hidrográficas do Nordeste Setentrional – (PISF). Dentre tais irregularidades, constou a ausência de critérios de comprovação do recolhimento mensal do INSS e do FGTS, nominal por empregado, o que poderia resultar em falhas na fiscalização da mão de obra medida e paga. O relator, ao analisar a matéria, ressaltou que essa situação foi de igual maneira verificada em outros processos que cuidaram de contratações do MI, sendo um deles também referente a contrato firmado com o Consórcio Logos-Concremat para o mesmo serviço, qual seja, gerenciamento e apoio técnico para a implantação de etapa do PISF. Na oportunidade, a unidade instrutiva promovera o cruzamento de informações constantes dos Boletins de Medição expedidos pelo Consórcio Logos-Concremat com os dados provenientes da Guia de Recolhimento do Fundo de Garantia do Tempo de Serviço e Informações à Previdência Social – (GFIP), constantes do Cadastro Nacional de Informações Sociais – (CNIS), resultando, dessa operação, a constatação de divergências que sinalizariam para o ressarcimento de valores pagos indevidamente pelo MI, pois os salários pelo Consórcio aos profissionais constantes da GFIP teriam sido menores que os estipulados na proposta da licitação oferecida pelo mencionado Consórcio e no subsequente contrato. O relator, a partir de julgado anterior do Tribunal, enfatizou não haver argumento a suportar que “uma empresa participante de licitação que ofereça proposta especificando os salários que serão pagos aos seus profissionais em virtude do contrato de supervisão de obra, neste caso as obras da Primeira Etapa de implantação do Projeto de Integração do Rio São Francisco – PISF, uma vez vencedora do certame, cujo julgamento baseou-se, entre outros, nos valores desses salários, possa, ao seu alvitre, quando da execução do contrato, remunerar esses profissionais em patamares inferiores, apesar de receber do órgão contratante - Ministério da Integração Nacional/MI -, exatamente aqueles valores que foram os balizadores da sua proposta, conforme ficou comprovado a partir da comparação entre as remunerações de profissionais oriundas dos boletins de medição e as constantes da planilha GFIP da empresa fornecida pelo Ministério da Previdência Social.”. Diante dos fatos, encaminhou proposta de determinação corretiva quanto ao contrato examinado, o que foi aprovado pelo Plenário. Precedentes citados: Acórdãos nos 1233/2008 e 446/2011, ambos do Plenário.</w:t>
      </w:r>
      <w:r w:rsidRPr="0052133E">
        <w:rPr>
          <w:rFonts w:ascii="Arial" w:eastAsia="Calibri" w:hAnsi="Arial" w:cs="Arial"/>
          <w:b/>
          <w:bCs/>
          <w:i/>
          <w:iCs/>
          <w:sz w:val="24"/>
        </w:rPr>
        <w:t xml:space="preserve"> Acórdão n.º 1009/2011-Plenário, TC-022.745/2009-0, rel. Min. Ubiratan Aguiar, 20.04.2011.</w:t>
      </w:r>
    </w:p>
    <w:p w:rsidR="0052133E" w:rsidRDefault="0052133E" w:rsidP="0068243F">
      <w:pPr>
        <w:spacing w:before="120" w:after="240" w:line="360" w:lineRule="auto"/>
        <w:jc w:val="both"/>
        <w:rPr>
          <w:rFonts w:ascii="Arial" w:eastAsia="Calibri" w:hAnsi="Arial" w:cs="Arial"/>
          <w:b/>
          <w:bCs/>
          <w:i/>
          <w:iCs/>
          <w:sz w:val="24"/>
        </w:rPr>
      </w:pPr>
    </w:p>
    <w:p w:rsidR="0052133E" w:rsidRPr="0052133E" w:rsidRDefault="0052133E" w:rsidP="0068243F">
      <w:pPr>
        <w:spacing w:before="120" w:after="240" w:line="360" w:lineRule="auto"/>
        <w:jc w:val="both"/>
        <w:rPr>
          <w:rFonts w:ascii="Arial" w:eastAsia="Calibri" w:hAnsi="Arial" w:cs="Arial"/>
          <w:b/>
          <w:bCs/>
          <w:iCs/>
          <w:sz w:val="28"/>
        </w:rPr>
      </w:pPr>
      <w:r w:rsidRPr="0052133E">
        <w:rPr>
          <w:rFonts w:ascii="Arial" w:eastAsia="Calibri" w:hAnsi="Arial" w:cs="Arial"/>
          <w:b/>
          <w:bCs/>
          <w:iCs/>
          <w:sz w:val="28"/>
        </w:rPr>
        <w:t>Contratação por inexigibilidade de licitação: 1 – Para a contratação, por inexigibilidade de licitação, de serviço técnico profissional especializado deve estar demonstrado que este possui características singulares, além da condição de notória especialização do prestador</w:t>
      </w:r>
    </w:p>
    <w:p w:rsidR="0052133E" w:rsidRDefault="0052133E" w:rsidP="0068243F">
      <w:pPr>
        <w:spacing w:before="120" w:after="240" w:line="360" w:lineRule="auto"/>
        <w:jc w:val="both"/>
        <w:rPr>
          <w:rFonts w:ascii="Arial" w:eastAsia="Calibri" w:hAnsi="Arial" w:cs="Arial"/>
          <w:b/>
          <w:bCs/>
          <w:i/>
          <w:iCs/>
          <w:sz w:val="24"/>
        </w:rPr>
      </w:pPr>
      <w:r w:rsidRPr="0052133E">
        <w:rPr>
          <w:rFonts w:ascii="Arial" w:eastAsia="Calibri" w:hAnsi="Arial" w:cs="Arial"/>
          <w:bCs/>
          <w:iCs/>
          <w:sz w:val="24"/>
        </w:rPr>
        <w:t>Mediante denúncia, foram relatados ao Tribunal indícios de irregularidades que estariam ocorrendo no âmbito do Conselho Regional de Engenharia, Arquitetura e Agronomia do Piauí – (CREA/PI), nos exercícios de 2006 a 2008, dentre elas, a contratação direta, por inexigibilidade de licitação, de escritórios de advocacia, para defesa do CREA/PI, em causas trabalhistas. Para a unidade técnica, não restaram comprovados os requisitos da natureza singular do serviço técnico e da notória especialização dos contratados, o que contou com a concordância do relator, o qual, ainda, refutou a justificativa dos responsáveis de que contratados deteriam notória e larga experiência em suas áreas de atuações, que poderia ser comprovada a partir de seus os currículos profissionais. Segundo o relator, desde a Súmula nº 39, de 1973, “</w:t>
      </w:r>
      <w:r w:rsidRPr="0052133E">
        <w:rPr>
          <w:rFonts w:ascii="Arial" w:eastAsia="Calibri" w:hAnsi="Arial" w:cs="Arial"/>
          <w:bCs/>
          <w:i/>
          <w:iCs/>
          <w:sz w:val="24"/>
        </w:rPr>
        <w:t>a jurisprudência deste Tribunal tem se consolidado quanto à necessidade de se demonstrar, nas contratações diretas de serviço técnico profissional especializado, que tal serviço tenha características singulares (incomum, anômalo, não usual), aliada à condição de notória especialização do prestador (que reúna competências que o diferenciem de outros profissionais, a ponto de tornar inviável a competição)”.</w:t>
      </w:r>
      <w:r w:rsidRPr="0052133E">
        <w:rPr>
          <w:rFonts w:ascii="Arial" w:eastAsia="Calibri" w:hAnsi="Arial" w:cs="Arial"/>
          <w:bCs/>
          <w:iCs/>
          <w:sz w:val="24"/>
        </w:rPr>
        <w:t xml:space="preserve"> Assim, quanto a este ponto, o relator apresentou proposta pela procedência da denúncia, sem prejuízo da adoção de outras medidas necessárias ao bom andamento de futuras licitações a serem procedidas pelo CREA/PI. Precedentes citados: Acórdãos n</w:t>
      </w:r>
      <w:r w:rsidRPr="0052133E">
        <w:rPr>
          <w:rFonts w:ascii="Arial" w:eastAsia="Calibri" w:hAnsi="Arial" w:cs="Arial"/>
          <w:bCs/>
          <w:iCs/>
          <w:sz w:val="24"/>
          <w:u w:val="single"/>
          <w:vertAlign w:val="superscript"/>
        </w:rPr>
        <w:t>os</w:t>
      </w:r>
      <w:r w:rsidRPr="0052133E">
        <w:rPr>
          <w:rFonts w:ascii="Arial" w:eastAsia="Calibri" w:hAnsi="Arial" w:cs="Arial"/>
          <w:bCs/>
          <w:iCs/>
          <w:sz w:val="24"/>
        </w:rPr>
        <w:t>: 817/2010, da 1ª Câmara, 250/2002, da 2ª Câmara, 596/2007, 1.299/2008 e 1.602/2010, do Plenário.</w:t>
      </w:r>
      <w:r w:rsidRPr="0052133E">
        <w:rPr>
          <w:rFonts w:ascii="Arial" w:eastAsia="Calibri" w:hAnsi="Arial" w:cs="Arial"/>
          <w:b/>
          <w:bCs/>
          <w:iCs/>
          <w:sz w:val="24"/>
        </w:rPr>
        <w:t xml:space="preserve"> </w:t>
      </w:r>
      <w:r w:rsidRPr="0052133E">
        <w:rPr>
          <w:rFonts w:ascii="Arial" w:eastAsia="Calibri" w:hAnsi="Arial" w:cs="Arial"/>
          <w:b/>
          <w:bCs/>
          <w:i/>
          <w:iCs/>
          <w:sz w:val="24"/>
        </w:rPr>
        <w:t>Acórdão nº 1038/2011-Plenário, TC-003.832/2008-7, rel. Min.-Subst. André Luís Carvalho, 20.04.2011.</w:t>
      </w:r>
    </w:p>
    <w:p w:rsidR="004C05B9" w:rsidRDefault="004C05B9" w:rsidP="0068243F">
      <w:pPr>
        <w:spacing w:before="120" w:after="240" w:line="360" w:lineRule="auto"/>
        <w:jc w:val="both"/>
        <w:rPr>
          <w:rFonts w:ascii="Arial" w:eastAsia="Calibri" w:hAnsi="Arial" w:cs="Arial"/>
          <w:b/>
          <w:bCs/>
          <w:i/>
          <w:iCs/>
          <w:sz w:val="24"/>
        </w:rPr>
      </w:pPr>
    </w:p>
    <w:p w:rsidR="004C05B9" w:rsidRDefault="004C05B9" w:rsidP="0068243F">
      <w:pPr>
        <w:spacing w:before="120" w:after="240" w:line="360" w:lineRule="auto"/>
        <w:jc w:val="center"/>
        <w:rPr>
          <w:rFonts w:ascii="Arial" w:eastAsia="Calibri" w:hAnsi="Arial" w:cs="Arial"/>
          <w:b/>
          <w:bCs/>
          <w:iCs/>
          <w:sz w:val="32"/>
        </w:rPr>
      </w:pPr>
      <w:r>
        <w:rPr>
          <w:rFonts w:ascii="Arial" w:eastAsia="Calibri" w:hAnsi="Arial" w:cs="Arial"/>
          <w:b/>
          <w:bCs/>
          <w:iCs/>
          <w:sz w:val="32"/>
        </w:rPr>
        <w:t>60.</w:t>
      </w:r>
    </w:p>
    <w:p w:rsidR="004C05B9" w:rsidRDefault="004C05B9" w:rsidP="0068243F">
      <w:pPr>
        <w:spacing w:before="120" w:after="240" w:line="360" w:lineRule="auto"/>
        <w:jc w:val="both"/>
        <w:rPr>
          <w:rFonts w:ascii="Arial" w:eastAsia="Calibri" w:hAnsi="Arial" w:cs="Arial"/>
          <w:b/>
          <w:bCs/>
          <w:iCs/>
          <w:sz w:val="28"/>
        </w:rPr>
      </w:pPr>
      <w:r w:rsidRPr="004C05B9">
        <w:rPr>
          <w:rFonts w:ascii="Arial" w:eastAsia="Calibri" w:hAnsi="Arial" w:cs="Arial"/>
          <w:b/>
          <w:bCs/>
          <w:iCs/>
          <w:sz w:val="28"/>
        </w:rPr>
        <w:t>Não é possível a exigência de certificação ISO, e outras semelhantes, com o fim de habilitação de licitantes ou como critério para a qualificação de propostas</w:t>
      </w:r>
    </w:p>
    <w:p w:rsidR="004C05B9" w:rsidRPr="004C05B9" w:rsidRDefault="004C05B9" w:rsidP="0068243F">
      <w:pPr>
        <w:spacing w:before="120" w:after="240" w:line="360" w:lineRule="auto"/>
        <w:jc w:val="both"/>
        <w:rPr>
          <w:rFonts w:ascii="Arial" w:eastAsia="Calibri" w:hAnsi="Arial" w:cs="Arial"/>
          <w:b/>
          <w:bCs/>
          <w:i/>
          <w:iCs/>
          <w:sz w:val="24"/>
        </w:rPr>
      </w:pPr>
      <w:r w:rsidRPr="004C05B9">
        <w:rPr>
          <w:rFonts w:ascii="Arial" w:eastAsia="Calibri" w:hAnsi="Arial" w:cs="Arial"/>
          <w:bCs/>
          <w:iCs/>
          <w:sz w:val="24"/>
        </w:rPr>
        <w:t>Mediante pedido de reexame, a Centrais Elétricas do Norte do Brasil S.A. - (Eletronorte) manifestou seu inconformismo contra o Acórdão nº 1.612/2008, do Plenário, o qual lhe determinara que, nos editais de suas licitações, deixe de exigir a certificação expedida pela Organização Internacional de Normalização (International Organization for Standardization - ISO) e outras semelhantes, para a habilitação dos participantes ou como critério para a qualificação de propostas. Para a recorrente, “</w:t>
      </w:r>
      <w:r w:rsidRPr="004C05B9">
        <w:rPr>
          <w:rFonts w:ascii="Arial" w:eastAsia="Calibri" w:hAnsi="Arial" w:cs="Arial"/>
          <w:bCs/>
          <w:i/>
          <w:iCs/>
          <w:sz w:val="24"/>
        </w:rPr>
        <w:t>a jurisprudência que serviu de base para a determinação contestada é relativa apenas a serviços de informática</w:t>
      </w:r>
      <w:r w:rsidRPr="004C05B9">
        <w:rPr>
          <w:rFonts w:ascii="Arial" w:eastAsia="Calibri" w:hAnsi="Arial" w:cs="Arial"/>
          <w:bCs/>
          <w:iCs/>
          <w:sz w:val="24"/>
        </w:rPr>
        <w:t>”. Segundo o relator, no entanto, “</w:t>
      </w:r>
      <w:r w:rsidRPr="004C05B9">
        <w:rPr>
          <w:rFonts w:ascii="Arial" w:eastAsia="Calibri" w:hAnsi="Arial" w:cs="Arial"/>
          <w:bCs/>
          <w:i/>
          <w:iCs/>
          <w:sz w:val="24"/>
        </w:rPr>
        <w:t>nenhum dos motivos que levaram à formação do entendimento deste Tribunal é exclusivo de certames dessa natureza</w:t>
      </w:r>
      <w:r w:rsidRPr="004C05B9">
        <w:rPr>
          <w:rFonts w:ascii="Arial" w:eastAsia="Calibri" w:hAnsi="Arial" w:cs="Arial"/>
          <w:bCs/>
          <w:iCs/>
          <w:sz w:val="24"/>
        </w:rPr>
        <w:t>”. Para ele, as certificações nacionais correspondentes à família 9000 da ISO se referem, em linhas gerais, a critérios para implantação de sistemas de garantia da qualidade. Para obtê-los, a empresa deveria demonstrar a adequação de seus procedimentos de fabricação aos padrões estabelecidos na norma, o que garantiria, ao menos em tese, “</w:t>
      </w:r>
      <w:r w:rsidRPr="004C05B9">
        <w:rPr>
          <w:rFonts w:ascii="Arial" w:eastAsia="Calibri" w:hAnsi="Arial" w:cs="Arial"/>
          <w:bCs/>
          <w:i/>
          <w:iCs/>
          <w:sz w:val="24"/>
        </w:rPr>
        <w:t>que os produtos oriundos dessa empresa tenham sempre as mesmas características</w:t>
      </w:r>
      <w:r w:rsidRPr="004C05B9">
        <w:rPr>
          <w:rFonts w:ascii="Arial" w:eastAsia="Calibri" w:hAnsi="Arial" w:cs="Arial"/>
          <w:bCs/>
          <w:iCs/>
          <w:sz w:val="24"/>
        </w:rPr>
        <w:t>”. Todavia, ainda conforme o relator, “</w:t>
      </w:r>
      <w:r w:rsidRPr="004C05B9">
        <w:rPr>
          <w:rFonts w:ascii="Arial" w:eastAsia="Calibri" w:hAnsi="Arial" w:cs="Arial"/>
          <w:bCs/>
          <w:i/>
          <w:iCs/>
          <w:sz w:val="24"/>
        </w:rPr>
        <w:t>isso não garante que eles tenham qualidade superior aos de uma empresa que não seja certificada</w:t>
      </w:r>
      <w:r w:rsidRPr="004C05B9">
        <w:rPr>
          <w:rFonts w:ascii="Arial" w:eastAsia="Calibri" w:hAnsi="Arial" w:cs="Arial"/>
          <w:bCs/>
          <w:iCs/>
          <w:sz w:val="24"/>
        </w:rPr>
        <w:t>”. Além do que, no ponto de vista do relator, “</w:t>
      </w:r>
      <w:r w:rsidRPr="004C05B9">
        <w:rPr>
          <w:rFonts w:ascii="Arial" w:eastAsia="Calibri" w:hAnsi="Arial" w:cs="Arial"/>
          <w:bCs/>
          <w:i/>
          <w:iCs/>
          <w:sz w:val="24"/>
        </w:rPr>
        <w:t>obter a certificação ISO é faculdade das empresas – não há lei que a indique como condição para exercício de qualquer atividade</w:t>
      </w:r>
      <w:r w:rsidRPr="004C05B9">
        <w:rPr>
          <w:rFonts w:ascii="Arial" w:eastAsia="Calibri" w:hAnsi="Arial" w:cs="Arial"/>
          <w:bCs/>
          <w:iCs/>
          <w:sz w:val="24"/>
        </w:rPr>
        <w:t>”. Restritiva, portanto, a exigência desse predicado como condição para qualificação em licitações, pois “</w:t>
      </w:r>
      <w:r w:rsidRPr="004C05B9">
        <w:rPr>
          <w:rFonts w:ascii="Arial" w:eastAsia="Calibri" w:hAnsi="Arial" w:cs="Arial"/>
          <w:bCs/>
          <w:i/>
          <w:iCs/>
          <w:sz w:val="24"/>
        </w:rPr>
        <w:t>afastar os participantes não certificados reduz a possibilidade de alcance da melhor proposta para a Administração, sem que haja justificativa razoável para tanto</w:t>
      </w:r>
      <w:r w:rsidRPr="004C05B9">
        <w:rPr>
          <w:rFonts w:ascii="Arial" w:eastAsia="Calibri" w:hAnsi="Arial" w:cs="Arial"/>
          <w:bCs/>
          <w:iCs/>
          <w:sz w:val="24"/>
        </w:rPr>
        <w:t>”. Por outro lado, não haveria óbice para a utilização do aludido certificado para atribuir pontuação a uma empresa licitante, dado que isso permitiria reconhecer seu diferencial em relação a outras que não comprovaram a adequação de seu sistema de produção aos critérios de qualidade estabelecidos em tais normas. Por conseguinte, votou por que se negasse provimento ao pedido de reexame, mantendo-se os exatos termos do Acórdão nº 1.612/2008-Plenário, no que contou com a acolhida do Plenário. Precedente citado: Acórdão n</w:t>
      </w:r>
      <w:r w:rsidRPr="004C05B9">
        <w:rPr>
          <w:rFonts w:ascii="Arial" w:eastAsia="Calibri" w:hAnsi="Arial" w:cs="Arial"/>
          <w:bCs/>
          <w:iCs/>
          <w:sz w:val="24"/>
          <w:u w:val="single"/>
          <w:vertAlign w:val="superscript"/>
        </w:rPr>
        <w:t>o</w:t>
      </w:r>
      <w:r w:rsidRPr="004C05B9">
        <w:rPr>
          <w:rFonts w:ascii="Arial" w:eastAsia="Calibri" w:hAnsi="Arial" w:cs="Arial"/>
          <w:bCs/>
          <w:iCs/>
          <w:sz w:val="24"/>
        </w:rPr>
        <w:t xml:space="preserve"> 2461/2007, do Plenário. </w:t>
      </w:r>
      <w:r w:rsidRPr="004C05B9">
        <w:rPr>
          <w:rFonts w:ascii="Arial" w:eastAsia="Calibri" w:hAnsi="Arial" w:cs="Arial"/>
          <w:b/>
          <w:bCs/>
          <w:i/>
          <w:iCs/>
          <w:sz w:val="24"/>
        </w:rPr>
        <w:t>Acórdão n.º 1085/2011-Plenário, TC-007.924/2007-0, rel. Min. José Múcio, 27.04.2011.</w:t>
      </w:r>
    </w:p>
    <w:p w:rsidR="004C05B9" w:rsidRDefault="00F35856" w:rsidP="0068243F">
      <w:pPr>
        <w:spacing w:before="120" w:after="240" w:line="360" w:lineRule="auto"/>
        <w:jc w:val="center"/>
        <w:rPr>
          <w:rFonts w:ascii="Arial" w:eastAsia="Calibri" w:hAnsi="Arial" w:cs="Arial"/>
          <w:b/>
          <w:bCs/>
          <w:iCs/>
          <w:sz w:val="32"/>
        </w:rPr>
      </w:pPr>
      <w:r>
        <w:rPr>
          <w:rFonts w:ascii="Arial" w:eastAsia="Calibri" w:hAnsi="Arial" w:cs="Arial"/>
          <w:b/>
          <w:bCs/>
          <w:iCs/>
          <w:sz w:val="32"/>
        </w:rPr>
        <w:t>61.</w:t>
      </w:r>
    </w:p>
    <w:p w:rsidR="00F35856" w:rsidRPr="00F35856" w:rsidRDefault="00F35856" w:rsidP="0068243F">
      <w:pPr>
        <w:spacing w:before="120" w:after="240" w:line="360" w:lineRule="auto"/>
        <w:jc w:val="both"/>
        <w:rPr>
          <w:rFonts w:ascii="Arial" w:eastAsia="Calibri" w:hAnsi="Arial" w:cs="Arial"/>
          <w:b/>
          <w:bCs/>
          <w:iCs/>
          <w:sz w:val="28"/>
        </w:rPr>
      </w:pPr>
      <w:r w:rsidRPr="00F35856">
        <w:rPr>
          <w:rFonts w:ascii="Arial" w:eastAsia="Calibri" w:hAnsi="Arial" w:cs="Arial"/>
          <w:b/>
          <w:bCs/>
          <w:iCs/>
          <w:sz w:val="28"/>
        </w:rPr>
        <w:t>Para o fim de enquadramento na hipótese de dispensa de licitação prevista no inc. IV do art. 24 da Lei 8.666/1993 não há que se fazer distinção entre a emergência resultante de fato imprevisível e a decorrente da incúria ou desídia administrativa, desde que devidamente caracterizada a urgência de atendimento à situação que possa ocasionar prejuízo ou comprometer a segurança de pessoas, obras, serviços, equipamentos e outros bens, públicos ou particulares</w:t>
      </w:r>
    </w:p>
    <w:p w:rsidR="00F35856" w:rsidRDefault="00F35856" w:rsidP="0068243F">
      <w:pPr>
        <w:spacing w:before="120" w:after="240" w:line="360" w:lineRule="auto"/>
        <w:jc w:val="both"/>
        <w:rPr>
          <w:rFonts w:ascii="Arial" w:eastAsia="Calibri" w:hAnsi="Arial" w:cs="Arial"/>
          <w:b/>
          <w:bCs/>
          <w:i/>
          <w:iCs/>
          <w:sz w:val="24"/>
        </w:rPr>
      </w:pPr>
      <w:r w:rsidRPr="00F35856">
        <w:rPr>
          <w:rFonts w:ascii="Arial" w:eastAsia="Calibri" w:hAnsi="Arial" w:cs="Arial"/>
          <w:bCs/>
          <w:iCs/>
          <w:sz w:val="24"/>
        </w:rPr>
        <w:t>“</w:t>
      </w:r>
      <w:r w:rsidRPr="00F35856">
        <w:rPr>
          <w:rFonts w:ascii="Arial" w:eastAsia="Calibri" w:hAnsi="Arial" w:cs="Arial"/>
          <w:bCs/>
          <w:i/>
          <w:iCs/>
          <w:sz w:val="24"/>
        </w:rPr>
        <w:t>A situação prevista no art. 24, IV, da Lei n° 8.666/93 não distingue a emergência real, resultante do imprevisível, daquela resultante da incúria ou inércia administrativa, sendo cabível, em ambas as hipóteses, a contratação direta, desde que devidamente caracterizada a urgência de atendimento a situação que possa ocasionar prejuízo ou comprometer a segurança de pessoas, obras, serviços, equipamentos e outros bens, públicos ou particulares</w:t>
      </w:r>
      <w:r w:rsidRPr="00F35856">
        <w:rPr>
          <w:rFonts w:ascii="Arial" w:eastAsia="Calibri" w:hAnsi="Arial" w:cs="Arial"/>
          <w:bCs/>
          <w:iCs/>
          <w:sz w:val="24"/>
        </w:rPr>
        <w:t>”. Com esse entendimento, o Tribunal julgou improcedente representação contra a Companhia Hidro Elétrica do São Francisco – (Chesf), acerca de irregularidades na contratação de empresa, para a prestação de serviços na área de propaganda e publicidade, por meio de processo de dispensa de licitação fundamentada no art. 24, inciso IV, da Lei n.º 8.666/1993 (situação emergencial). Para a unidade técnica, na espécie, o uso da dispensa de licitação teria se revelado indevido, pois “</w:t>
      </w:r>
      <w:r w:rsidRPr="00F35856">
        <w:rPr>
          <w:rFonts w:ascii="Arial" w:eastAsia="Calibri" w:hAnsi="Arial" w:cs="Arial"/>
          <w:bCs/>
          <w:i/>
          <w:iCs/>
          <w:sz w:val="24"/>
        </w:rPr>
        <w:t xml:space="preserve">a caracterização da suposta situação emergencial não restou fundamentada em fatos novos e imprevisíveis, mas em situação decorrente de omissão do agente público, que não providenciou a licitação em tempo hábil”. </w:t>
      </w:r>
      <w:r w:rsidRPr="00F35856">
        <w:rPr>
          <w:rFonts w:ascii="Arial" w:eastAsia="Calibri" w:hAnsi="Arial" w:cs="Arial"/>
          <w:bCs/>
          <w:iCs/>
          <w:sz w:val="24"/>
        </w:rPr>
        <w:t>Na instrução do processo, informou-se que serviços não relacionados a essas campanhas também teriam sido contratados por meio de dispensa de licitação, amparada na emergência. Propôs-se, então, que os responsáveis pela contratação emergencial, supostamente irregular, fossem apenados com multa. O relator, todavia, dissentiu do encaminhamento. Segundo ele, “</w:t>
      </w:r>
      <w:r w:rsidRPr="00F35856">
        <w:rPr>
          <w:rFonts w:ascii="Arial" w:eastAsia="Calibri" w:hAnsi="Arial" w:cs="Arial"/>
          <w:bCs/>
          <w:i/>
          <w:iCs/>
          <w:sz w:val="24"/>
        </w:rPr>
        <w:t>há que se separar a ausência de planejamento da contratação emergencial propriamente dita, tratando-as como questões distintas</w:t>
      </w:r>
      <w:r w:rsidRPr="00F35856">
        <w:rPr>
          <w:rFonts w:ascii="Arial" w:eastAsia="Calibri" w:hAnsi="Arial" w:cs="Arial"/>
          <w:bCs/>
          <w:iCs/>
          <w:sz w:val="24"/>
        </w:rPr>
        <w:t>”. Nesse quadro, a contratação emergencial ocorreria “</w:t>
      </w:r>
      <w:r w:rsidRPr="00F35856">
        <w:rPr>
          <w:rFonts w:ascii="Arial" w:eastAsia="Calibri" w:hAnsi="Arial" w:cs="Arial"/>
          <w:bCs/>
          <w:i/>
          <w:iCs/>
          <w:sz w:val="24"/>
        </w:rPr>
        <w:t>em função da essencialidade do serviço ou bem que se pretende adquirir, pouco importando os motivos que tornam imperativa a imediata contratação</w:t>
      </w:r>
      <w:r w:rsidRPr="00F35856">
        <w:rPr>
          <w:rFonts w:ascii="Arial" w:eastAsia="Calibri" w:hAnsi="Arial" w:cs="Arial"/>
          <w:bCs/>
          <w:iCs/>
          <w:sz w:val="24"/>
        </w:rPr>
        <w:t>”. Assim, “</w:t>
      </w:r>
      <w:r w:rsidRPr="00F35856">
        <w:rPr>
          <w:rFonts w:ascii="Arial" w:eastAsia="Calibri" w:hAnsi="Arial" w:cs="Arial"/>
          <w:bCs/>
          <w:i/>
          <w:iCs/>
          <w:sz w:val="24"/>
        </w:rPr>
        <w:t>na análise de contratações emergenciais não se deve buscar a causa da emergência, mas os efeitos advindos de sua não realização</w:t>
      </w:r>
      <w:r w:rsidRPr="00F35856">
        <w:rPr>
          <w:rFonts w:ascii="Arial" w:eastAsia="Calibri" w:hAnsi="Arial" w:cs="Arial"/>
          <w:bCs/>
          <w:iCs/>
          <w:sz w:val="24"/>
        </w:rPr>
        <w:t>”. A partir da verificação desses efeitos, caberia à Administração sopesar a imperatividade da contratação emergencial e avaliar a pertinência da aplicação da excepcionalidade permitida pelo art. 24, IV, da Lei de Licitações. No caso concreto, o relator entendeu que “</w:t>
      </w:r>
      <w:r w:rsidRPr="00F35856">
        <w:rPr>
          <w:rFonts w:ascii="Arial" w:eastAsia="Calibri" w:hAnsi="Arial" w:cs="Arial"/>
          <w:bCs/>
          <w:i/>
          <w:iCs/>
          <w:sz w:val="24"/>
        </w:rPr>
        <w:t>a contratação emergencial se caracterizou, sobretudo, pela necessidade de não interrupção dos serviços de publicidade de utilidade pública</w:t>
      </w:r>
      <w:r w:rsidRPr="00F35856">
        <w:rPr>
          <w:rFonts w:ascii="Arial" w:eastAsia="Calibri" w:hAnsi="Arial" w:cs="Arial"/>
          <w:bCs/>
          <w:iCs/>
          <w:sz w:val="24"/>
        </w:rPr>
        <w:t>”, os quais, para, ele, dizem respeito a uma área que “</w:t>
      </w:r>
      <w:r w:rsidRPr="00F35856">
        <w:rPr>
          <w:rFonts w:ascii="Arial" w:eastAsia="Calibri" w:hAnsi="Arial" w:cs="Arial"/>
          <w:bCs/>
          <w:i/>
          <w:iCs/>
          <w:sz w:val="24"/>
        </w:rPr>
        <w:t>está relacionada com a divulgação de serviços que tenham como objetivo informar, orientar, avisar, prevenir ou alertar segmento ou toda a população para adotar comportamentos que lhe tragam benefícios sociais, visando à melhoria em sua qualidade de vida</w:t>
      </w:r>
      <w:r w:rsidRPr="00F35856">
        <w:rPr>
          <w:rFonts w:ascii="Arial" w:eastAsia="Calibri" w:hAnsi="Arial" w:cs="Arial"/>
          <w:bCs/>
          <w:iCs/>
          <w:sz w:val="24"/>
        </w:rPr>
        <w:t>”. Aditou que a principal atividade prevista na área de serviços de publicidade de utilidade pública era a campanha de prevenção de queimadas, destacando que “</w:t>
      </w:r>
      <w:r w:rsidRPr="00F35856">
        <w:rPr>
          <w:rFonts w:ascii="Arial" w:eastAsia="Calibri" w:hAnsi="Arial" w:cs="Arial"/>
          <w:bCs/>
          <w:i/>
          <w:iCs/>
          <w:sz w:val="24"/>
        </w:rPr>
        <w:t>incêndios em canaviais existentes sob linhas de transmissão da Chesf têm provocado, no período da colheita, interrupção no fornecimento de energia elétrica, principalmente em Pernambuco e Alagoas. A campanha que a Chesf vem fazendo nas últimas décadas, através de emissoras de rádio e televisão, contribui decisivamente para a redução dos desligamentos</w:t>
      </w:r>
      <w:r w:rsidRPr="00F35856">
        <w:rPr>
          <w:rFonts w:ascii="Arial" w:eastAsia="Calibri" w:hAnsi="Arial" w:cs="Arial"/>
          <w:bCs/>
          <w:iCs/>
          <w:sz w:val="24"/>
        </w:rPr>
        <w:t>”. Consignou o relator, ainda, que à época da queima dos canaviais no nordeste do país, os desligamentos de linhas de transmissão, em decorrência de tais queimadas, apresentaria acentuado crescimento, caracterizando situação que poderia ocasionar prejuízo ou comprometer a segurança de pessoas, obras, serviços, equipamentos e outros bens, públicos ou particulares, fato que autorizaria a utilização da contratação direta prevista no art. 24, IV, da Lei n° 8.666/93. Em face do exposto, o Plenário manifestou sua anuência, acompanhando o relator no entendimento de que a representação não mereceria ser provida.</w:t>
      </w:r>
      <w:r w:rsidRPr="00F35856">
        <w:rPr>
          <w:rFonts w:ascii="Arial" w:eastAsia="Calibri" w:hAnsi="Arial" w:cs="Arial"/>
          <w:bCs/>
          <w:iCs/>
          <w:sz w:val="28"/>
        </w:rPr>
        <w:t xml:space="preserve"> </w:t>
      </w:r>
      <w:r w:rsidRPr="00F35856">
        <w:rPr>
          <w:rFonts w:ascii="Arial" w:eastAsia="Calibri" w:hAnsi="Arial" w:cs="Arial"/>
          <w:b/>
          <w:bCs/>
          <w:i/>
          <w:iCs/>
          <w:sz w:val="24"/>
        </w:rPr>
        <w:t>Acórdão n.º 1138/2011-Plenário, TC-006.399/2008-2, rel. Min. Ubiratan Aguiar, 04.05.2011.</w:t>
      </w:r>
    </w:p>
    <w:p w:rsidR="003C5D51" w:rsidRDefault="003C5D51" w:rsidP="0068243F">
      <w:pPr>
        <w:spacing w:before="120" w:after="240" w:line="360" w:lineRule="auto"/>
        <w:jc w:val="both"/>
        <w:rPr>
          <w:rFonts w:ascii="Arial" w:eastAsia="Calibri" w:hAnsi="Arial" w:cs="Arial"/>
          <w:b/>
          <w:bCs/>
          <w:i/>
          <w:iCs/>
          <w:sz w:val="24"/>
        </w:rPr>
      </w:pPr>
    </w:p>
    <w:p w:rsidR="003C5D51" w:rsidRPr="003C5D51" w:rsidRDefault="005F4DC6" w:rsidP="0068243F">
      <w:pPr>
        <w:spacing w:before="120" w:after="240" w:line="360" w:lineRule="auto"/>
        <w:jc w:val="center"/>
        <w:rPr>
          <w:rFonts w:ascii="Arial" w:eastAsia="Calibri" w:hAnsi="Arial" w:cs="Arial"/>
          <w:b/>
          <w:bCs/>
          <w:iCs/>
          <w:sz w:val="32"/>
        </w:rPr>
      </w:pPr>
      <w:r>
        <w:rPr>
          <w:rFonts w:ascii="Arial" w:eastAsia="Calibri" w:hAnsi="Arial" w:cs="Arial"/>
          <w:b/>
          <w:bCs/>
          <w:iCs/>
          <w:sz w:val="32"/>
        </w:rPr>
        <w:t>*</w:t>
      </w:r>
      <w:r w:rsidR="003C5D51">
        <w:rPr>
          <w:rFonts w:ascii="Arial" w:eastAsia="Calibri" w:hAnsi="Arial" w:cs="Arial"/>
          <w:b/>
          <w:bCs/>
          <w:iCs/>
          <w:sz w:val="32"/>
        </w:rPr>
        <w:t>00.</w:t>
      </w:r>
    </w:p>
    <w:p w:rsidR="003C5D51" w:rsidRDefault="003C5D51" w:rsidP="0068243F">
      <w:pPr>
        <w:spacing w:before="120" w:after="240" w:line="360" w:lineRule="auto"/>
        <w:jc w:val="both"/>
        <w:rPr>
          <w:rFonts w:ascii="Arial" w:eastAsia="Calibri" w:hAnsi="Arial" w:cs="Arial"/>
          <w:b/>
          <w:bCs/>
          <w:iCs/>
          <w:sz w:val="24"/>
          <w:u w:val="single"/>
        </w:rPr>
      </w:pPr>
      <w:r w:rsidRPr="003C5D51">
        <w:rPr>
          <w:rFonts w:ascii="Arial" w:eastAsia="Calibri" w:hAnsi="Arial" w:cs="Arial"/>
          <w:b/>
          <w:bCs/>
          <w:iCs/>
          <w:sz w:val="24"/>
        </w:rPr>
        <w:t>Lei nº 12.309/2010</w:t>
      </w:r>
      <w:r>
        <w:rPr>
          <w:rFonts w:ascii="Arial" w:eastAsia="Calibri" w:hAnsi="Arial" w:cs="Arial"/>
          <w:b/>
          <w:bCs/>
          <w:iCs/>
          <w:sz w:val="24"/>
        </w:rPr>
        <w:t>,</w:t>
      </w:r>
      <w:r w:rsidRPr="003C5D51">
        <w:rPr>
          <w:rFonts w:ascii="Arial" w:eastAsia="Calibri" w:hAnsi="Arial" w:cs="Arial"/>
          <w:b/>
          <w:bCs/>
          <w:iCs/>
          <w:sz w:val="24"/>
        </w:rPr>
        <w:t xml:space="preserve"> art. 127</w:t>
      </w:r>
      <w:r>
        <w:rPr>
          <w:rFonts w:ascii="Arial" w:eastAsia="Calibri" w:hAnsi="Arial" w:cs="Arial"/>
          <w:b/>
          <w:bCs/>
          <w:iCs/>
          <w:sz w:val="24"/>
        </w:rPr>
        <w:t>,</w:t>
      </w:r>
      <w:r w:rsidRPr="003C5D51">
        <w:rPr>
          <w:rFonts w:ascii="Arial" w:eastAsia="Calibri" w:hAnsi="Arial" w:cs="Arial"/>
          <w:b/>
          <w:bCs/>
          <w:iCs/>
          <w:sz w:val="24"/>
        </w:rPr>
        <w:t xml:space="preserve"> § 5º, inciso I</w:t>
      </w:r>
      <w:r>
        <w:rPr>
          <w:rFonts w:ascii="Arial" w:eastAsia="Calibri" w:hAnsi="Arial" w:cs="Arial"/>
          <w:b/>
          <w:bCs/>
          <w:iCs/>
          <w:sz w:val="24"/>
        </w:rPr>
        <w:t>.</w:t>
      </w:r>
      <w:r w:rsidRPr="003C5D51">
        <w:rPr>
          <w:rFonts w:ascii="Arial" w:eastAsia="Calibri" w:hAnsi="Arial" w:cs="Arial"/>
          <w:b/>
          <w:bCs/>
          <w:iCs/>
          <w:sz w:val="24"/>
        </w:rPr>
        <w:t xml:space="preserve"> </w:t>
      </w:r>
      <w:r w:rsidRPr="003C5D51">
        <w:rPr>
          <w:rFonts w:ascii="Arial" w:eastAsia="Calibri" w:hAnsi="Arial" w:cs="Arial"/>
          <w:b/>
          <w:bCs/>
          <w:iCs/>
          <w:sz w:val="24"/>
          <w:u w:val="single"/>
        </w:rPr>
        <w:t>(LDO 2011)</w:t>
      </w:r>
    </w:p>
    <w:p w:rsidR="003C5D51" w:rsidRDefault="003C5D51" w:rsidP="0068243F">
      <w:pPr>
        <w:spacing w:before="120" w:after="240" w:line="360" w:lineRule="auto"/>
        <w:jc w:val="both"/>
        <w:rPr>
          <w:rFonts w:ascii="Arial" w:eastAsia="Calibri" w:hAnsi="Arial" w:cs="Arial"/>
          <w:b/>
          <w:bCs/>
          <w:iCs/>
          <w:sz w:val="24"/>
        </w:rPr>
      </w:pPr>
      <w:r>
        <w:rPr>
          <w:rFonts w:ascii="Arial" w:eastAsia="Calibri" w:hAnsi="Arial" w:cs="Arial"/>
          <w:b/>
          <w:bCs/>
          <w:iCs/>
          <w:sz w:val="24"/>
        </w:rPr>
        <w:t xml:space="preserve">Acórdão 1015/2011 – Plenário – TCU </w:t>
      </w:r>
    </w:p>
    <w:p w:rsidR="003C5D51" w:rsidRDefault="003C5D51" w:rsidP="0068243F">
      <w:pPr>
        <w:spacing w:before="120" w:after="120" w:line="360" w:lineRule="auto"/>
        <w:jc w:val="both"/>
        <w:rPr>
          <w:rFonts w:ascii="Arial" w:eastAsia="Calibri" w:hAnsi="Arial" w:cs="Arial"/>
          <w:bCs/>
          <w:iCs/>
          <w:sz w:val="24"/>
        </w:rPr>
      </w:pPr>
      <w:r>
        <w:rPr>
          <w:rFonts w:ascii="Arial" w:eastAsia="Calibri" w:hAnsi="Arial" w:cs="Arial"/>
          <w:bCs/>
          <w:iCs/>
          <w:sz w:val="24"/>
        </w:rPr>
        <w:t>[...]</w:t>
      </w:r>
    </w:p>
    <w:p w:rsidR="008B0B2D" w:rsidRDefault="003C5D51" w:rsidP="0068243F">
      <w:pPr>
        <w:spacing w:before="120" w:after="120" w:line="360" w:lineRule="auto"/>
        <w:jc w:val="both"/>
        <w:rPr>
          <w:rFonts w:ascii="Arial" w:eastAsia="Calibri" w:hAnsi="Arial" w:cs="Arial"/>
          <w:bCs/>
          <w:iCs/>
          <w:sz w:val="24"/>
        </w:rPr>
      </w:pPr>
      <w:r w:rsidRPr="003C5D51">
        <w:rPr>
          <w:rFonts w:ascii="Arial" w:eastAsia="Calibri" w:hAnsi="Arial" w:cs="Arial"/>
          <w:bCs/>
          <w:iCs/>
          <w:sz w:val="24"/>
        </w:rPr>
        <w:t xml:space="preserve">9.7. determinar à Prefeitura do Município de Belém/PA que adote providências com vistas a incluir no Contrato nº 001/2008-SEHAB/PMB cláusula estabelecendo que, caso se faça necessária a celebração de termos aditivos versando sobre a inclusão de novos itens ou acréscimos de quantitativos de itens previstos na planilha de preços do referido contrato, deverão ser observados os preços praticados no mercado, que tenham por limite os referenciais de preço contidos no Sistema Nacional de Pesquisa de Custos e Índices de Construção Civil - Sinapi, bem como </w:t>
      </w:r>
      <w:r w:rsidRPr="003C5D51">
        <w:rPr>
          <w:rFonts w:ascii="Arial" w:eastAsia="Calibri" w:hAnsi="Arial" w:cs="Arial"/>
          <w:b/>
          <w:bCs/>
          <w:iCs/>
          <w:sz w:val="24"/>
        </w:rPr>
        <w:t>mantido o desconto inicialmente ofertado pela licitante vencedora, conforme disposto no § 5º, inciso I, do art. 127 da Lei nº 12.309/2010 (LDO 2011</w:t>
      </w:r>
      <w:r w:rsidRPr="003C5D51">
        <w:rPr>
          <w:rFonts w:ascii="Arial" w:eastAsia="Calibri" w:hAnsi="Arial" w:cs="Arial"/>
          <w:bCs/>
          <w:iCs/>
          <w:sz w:val="24"/>
        </w:rPr>
        <w:t>), informando ao TCU, no prazo de 30 (trinta) dias, as medidas adotadas;</w:t>
      </w:r>
      <w:r>
        <w:rPr>
          <w:rFonts w:ascii="Arial" w:eastAsia="Calibri" w:hAnsi="Arial" w:cs="Arial"/>
          <w:bCs/>
          <w:iCs/>
          <w:sz w:val="24"/>
        </w:rPr>
        <w:t xml:space="preserve"> (sem grifo no original).</w:t>
      </w:r>
    </w:p>
    <w:p w:rsidR="005F4DC6" w:rsidRDefault="003C5D51" w:rsidP="0068243F">
      <w:pPr>
        <w:spacing w:before="120" w:after="120" w:line="360" w:lineRule="auto"/>
        <w:jc w:val="both"/>
        <w:rPr>
          <w:rFonts w:ascii="Arial" w:eastAsia="Calibri" w:hAnsi="Arial" w:cs="Arial"/>
          <w:bCs/>
          <w:iCs/>
          <w:sz w:val="24"/>
        </w:rPr>
      </w:pPr>
      <w:r>
        <w:rPr>
          <w:rFonts w:ascii="Arial" w:eastAsia="Calibri" w:hAnsi="Arial" w:cs="Arial"/>
          <w:bCs/>
          <w:iCs/>
          <w:sz w:val="24"/>
        </w:rPr>
        <w:t>[...]</w:t>
      </w:r>
    </w:p>
    <w:p w:rsidR="00543995" w:rsidRDefault="005F4DC6" w:rsidP="0068243F">
      <w:pPr>
        <w:spacing w:before="120" w:after="240" w:line="360" w:lineRule="auto"/>
        <w:jc w:val="both"/>
        <w:rPr>
          <w:rFonts w:ascii="Arial" w:eastAsia="Calibri" w:hAnsi="Arial" w:cs="Arial"/>
          <w:bCs/>
          <w:iCs/>
          <w:sz w:val="24"/>
        </w:rPr>
      </w:pPr>
      <w:r>
        <w:rPr>
          <w:rFonts w:ascii="Arial" w:eastAsia="Calibri" w:hAnsi="Arial" w:cs="Arial"/>
          <w:bCs/>
          <w:iCs/>
          <w:sz w:val="24"/>
        </w:rPr>
        <w:t>*Obs.: Não faz parte dos Informativos de Jurisprudência do TCU.</w:t>
      </w:r>
    </w:p>
    <w:p w:rsidR="00543995" w:rsidRDefault="00E075D8" w:rsidP="0068243F">
      <w:pPr>
        <w:spacing w:before="120" w:after="240" w:line="360" w:lineRule="auto"/>
        <w:jc w:val="center"/>
        <w:rPr>
          <w:rFonts w:ascii="Arial" w:eastAsia="Calibri" w:hAnsi="Arial" w:cs="Arial"/>
          <w:b/>
          <w:bCs/>
          <w:iCs/>
          <w:sz w:val="32"/>
        </w:rPr>
      </w:pPr>
      <w:r>
        <w:rPr>
          <w:rFonts w:ascii="Arial" w:eastAsia="Calibri" w:hAnsi="Arial" w:cs="Arial"/>
          <w:b/>
          <w:bCs/>
          <w:iCs/>
          <w:sz w:val="32"/>
        </w:rPr>
        <w:t>*01.</w:t>
      </w:r>
    </w:p>
    <w:p w:rsidR="00E075D8" w:rsidRDefault="00E075D8" w:rsidP="0068243F">
      <w:pPr>
        <w:pStyle w:val="NormalWeb"/>
        <w:spacing w:line="360" w:lineRule="auto"/>
        <w:jc w:val="both"/>
        <w:rPr>
          <w:rFonts w:ascii="Arial" w:hAnsi="Arial" w:cs="Arial"/>
        </w:rPr>
      </w:pPr>
      <w:r>
        <w:rPr>
          <w:rFonts w:ascii="Arial" w:hAnsi="Arial" w:cs="Arial"/>
        </w:rPr>
        <w:t xml:space="preserve">Este fato não teria ocorrido se a Secretaria de Infra-Estrutura tivesse seguido o previsto no "Procedimento para Medição e Pagamento de Obras Rodoviárias" do Deinfra, que especifica: </w:t>
      </w:r>
    </w:p>
    <w:p w:rsidR="00E075D8" w:rsidRDefault="00E075D8" w:rsidP="0068243F">
      <w:pPr>
        <w:pStyle w:val="NormalWeb"/>
        <w:spacing w:line="360" w:lineRule="auto"/>
        <w:jc w:val="both"/>
        <w:rPr>
          <w:rFonts w:ascii="Arial" w:hAnsi="Arial" w:cs="Arial"/>
          <w:sz w:val="20"/>
          <w:szCs w:val="20"/>
        </w:rPr>
      </w:pPr>
      <w:r>
        <w:rPr>
          <w:rFonts w:ascii="Arial" w:hAnsi="Arial" w:cs="Arial"/>
          <w:sz w:val="20"/>
          <w:szCs w:val="20"/>
        </w:rPr>
        <w:t xml:space="preserve">IMP.03. Se, durante a execução da obra surgirem serviços, necessários, não constantes do Edital, deverá a Fiscalização ou a Construtora apresentar proposta para o preço unitário do serviço, elaborada de acordo com os modelos e recomendações do "Manual de Composição de Custos Rodoviários do DEINFRA-SC", e Procedimento para Medição e Pagamento correspondente ao novo serviço [...] </w:t>
      </w:r>
    </w:p>
    <w:p w:rsidR="00E075D8" w:rsidRDefault="00E075D8" w:rsidP="0068243F">
      <w:pPr>
        <w:pStyle w:val="NormalWeb"/>
        <w:spacing w:line="360" w:lineRule="auto"/>
        <w:jc w:val="both"/>
        <w:rPr>
          <w:rFonts w:ascii="Arial" w:hAnsi="Arial" w:cs="Arial"/>
          <w:sz w:val="20"/>
          <w:szCs w:val="20"/>
        </w:rPr>
      </w:pPr>
      <w:r>
        <w:rPr>
          <w:rFonts w:ascii="Arial" w:hAnsi="Arial" w:cs="Arial"/>
          <w:sz w:val="20"/>
          <w:szCs w:val="20"/>
        </w:rPr>
        <w:t xml:space="preserve">Este novo preço unitário terá por limite superior o valor praticado na Tabela de Preços do DEINFRA-SC, adotada na elaboração do orçamento do Edital, multiplicado por um coeficiente, obtido pela relação entre o preço global proposto e o preço global orçado pelo DEINFRA-SC, por classe de serviço </w:t>
      </w:r>
    </w:p>
    <w:p w:rsidR="00E075D8" w:rsidRDefault="00E075D8" w:rsidP="0068243F">
      <w:pPr>
        <w:pStyle w:val="NormalWeb"/>
        <w:spacing w:line="360" w:lineRule="auto"/>
        <w:jc w:val="both"/>
        <w:rPr>
          <w:rFonts w:ascii="Arial" w:hAnsi="Arial" w:cs="Arial"/>
          <w:sz w:val="20"/>
          <w:szCs w:val="20"/>
        </w:rPr>
      </w:pPr>
      <w:r>
        <w:rPr>
          <w:rFonts w:ascii="Arial" w:eastAsia="Calibri" w:hAnsi="Arial" w:cs="Arial"/>
          <w:bCs/>
          <w:iCs/>
        </w:rPr>
        <w:t>*Obs.: Não faz parte dos Informativos de Jurisprudência do TCU.</w:t>
      </w:r>
    </w:p>
    <w:p w:rsidR="00E075D8" w:rsidRDefault="00E075D8" w:rsidP="0068243F">
      <w:pPr>
        <w:spacing w:before="120" w:after="240" w:line="360" w:lineRule="auto"/>
        <w:jc w:val="both"/>
        <w:rPr>
          <w:rFonts w:ascii="Arial" w:eastAsia="Calibri" w:hAnsi="Arial" w:cs="Arial"/>
          <w:bCs/>
          <w:iCs/>
          <w:sz w:val="24"/>
        </w:rPr>
      </w:pPr>
    </w:p>
    <w:p w:rsidR="008B0B2D" w:rsidRDefault="00543995" w:rsidP="0068243F">
      <w:pPr>
        <w:spacing w:before="120" w:after="240" w:line="360" w:lineRule="auto"/>
        <w:jc w:val="center"/>
        <w:rPr>
          <w:rFonts w:ascii="Arial" w:eastAsia="Calibri" w:hAnsi="Arial" w:cs="Arial"/>
          <w:b/>
          <w:bCs/>
          <w:iCs/>
          <w:sz w:val="32"/>
        </w:rPr>
      </w:pPr>
      <w:r>
        <w:rPr>
          <w:rFonts w:ascii="Arial" w:eastAsia="Calibri" w:hAnsi="Arial" w:cs="Arial"/>
          <w:b/>
          <w:bCs/>
          <w:iCs/>
          <w:sz w:val="32"/>
        </w:rPr>
        <w:t>63.</w:t>
      </w:r>
    </w:p>
    <w:p w:rsidR="00543995" w:rsidRDefault="00543995" w:rsidP="0068243F">
      <w:pPr>
        <w:spacing w:before="120" w:after="120" w:line="360" w:lineRule="auto"/>
        <w:jc w:val="both"/>
        <w:rPr>
          <w:rFonts w:ascii="Arial" w:eastAsia="Calibri" w:hAnsi="Arial" w:cs="Arial"/>
          <w:b/>
          <w:bCs/>
          <w:iCs/>
          <w:sz w:val="28"/>
        </w:rPr>
      </w:pPr>
      <w:r w:rsidRPr="00543995">
        <w:rPr>
          <w:rFonts w:ascii="Arial" w:eastAsia="Calibri" w:hAnsi="Arial" w:cs="Arial"/>
          <w:b/>
          <w:bCs/>
          <w:iCs/>
          <w:sz w:val="28"/>
        </w:rPr>
        <w:t>No caso de impossibilidade de obtenção de preços referenciais, via sistemas oficiais, para a estimativa dos custos em processos licitatórios, deve ser realizada pesquisa contendo o mínimo de três cotações de empresas/fornecedores distintos, fazendo constar do respectivo processo a documentação comprobatória pertinente aos levantamentos e estudos que fundamentaram o preço estimado, devendo ser devidamente justificadas as situações em que não for possível atingir o número mínimo de cotações</w:t>
      </w:r>
    </w:p>
    <w:p w:rsidR="00543995" w:rsidRDefault="00543995" w:rsidP="0068243F">
      <w:pPr>
        <w:spacing w:before="120" w:after="120" w:line="360" w:lineRule="auto"/>
        <w:jc w:val="both"/>
        <w:rPr>
          <w:rFonts w:ascii="Arial" w:eastAsia="Calibri" w:hAnsi="Arial" w:cs="Arial"/>
          <w:bCs/>
          <w:iCs/>
          <w:sz w:val="24"/>
        </w:rPr>
      </w:pPr>
      <w:r w:rsidRPr="00543995">
        <w:rPr>
          <w:rFonts w:ascii="Arial" w:eastAsia="Calibri" w:hAnsi="Arial" w:cs="Arial"/>
          <w:bCs/>
          <w:iCs/>
          <w:sz w:val="24"/>
        </w:rPr>
        <w:t>Mediante auditoria, o TCU fiscalizou as obras da fábrica de hemoderivados e biotecnologia da Empresa Brasileira de Hemoderivados e Biotecnologia – (Hemobrás), em Goiana/PE, examinando, para tanto, documentos relativos à Concorrência nº 2/2010, cujo objeto consistiu na contratação de empresa para a execução das obras, instalações e serviços para continuidade do parque industrial da Hemobrás naquela cidade. Ao analisar a composição da planilha que serviu de base para o orçamento da licitação, a equipe de auditoria detectou que alguns itens não apresentavam cotação nos sistemas oficiais de preços referenciais, no caso, SICRO e SINAPI. Para tais itens, a Hemobrás levantou cotações de mercado, de modo a justificar os preços adotados, limitando-se, todavia, a uma única cotação para cada serviço, prática que, na opinião da equipe de auditoria, iria de encontro à jurisprudência deste Tribunal. Para ela, o entendimento do Tribunal é no sentido de que, “</w:t>
      </w:r>
      <w:r w:rsidRPr="00543995">
        <w:rPr>
          <w:rFonts w:ascii="Arial" w:eastAsia="Calibri" w:hAnsi="Arial" w:cs="Arial"/>
          <w:bCs/>
          <w:i/>
          <w:iCs/>
          <w:sz w:val="24"/>
        </w:rPr>
        <w:t>no caso de não ser possível obter preços referenciais nos sistemas oficiais para a estimativa de custos que antecederem os processos licitatórios, deve ser realizada pesquisa de preços contendo o mínimo de três cotações de empresas/fornecedores distintos, fazendo constar do respectivo processo a documentação comprobatória pertinente aos levantamentos e estudos que fundamentaram o preço estimado</w:t>
      </w:r>
      <w:r w:rsidRPr="00543995">
        <w:rPr>
          <w:rFonts w:ascii="Arial" w:eastAsia="Calibri" w:hAnsi="Arial" w:cs="Arial"/>
          <w:bCs/>
          <w:iCs/>
          <w:sz w:val="24"/>
        </w:rPr>
        <w:t>”. E que, “</w:t>
      </w:r>
      <w:r w:rsidRPr="00543995">
        <w:rPr>
          <w:rFonts w:ascii="Arial" w:eastAsia="Calibri" w:hAnsi="Arial" w:cs="Arial"/>
          <w:bCs/>
          <w:i/>
          <w:iCs/>
          <w:sz w:val="24"/>
        </w:rPr>
        <w:t>caso não seja possível obter esse número de cotações, deve ser elaborada justificativa circunstanciada</w:t>
      </w:r>
      <w:r w:rsidRPr="00543995">
        <w:rPr>
          <w:rFonts w:ascii="Arial" w:eastAsia="Calibri" w:hAnsi="Arial" w:cs="Arial"/>
          <w:bCs/>
          <w:iCs/>
          <w:sz w:val="24"/>
        </w:rPr>
        <w:t>”. A equipe de auditoria sugeriu, então, que o TCU expedisse determinação corretiva para as próximas licitações a serem realizadas pela Hemobrás, no que contou com a acolhida do relator e do Plenário. Precedentes citados: Acórdãos n</w:t>
      </w:r>
      <w:r w:rsidRPr="00543995">
        <w:rPr>
          <w:rFonts w:ascii="Arial" w:eastAsia="Calibri" w:hAnsi="Arial" w:cs="Arial"/>
          <w:bCs/>
          <w:iCs/>
          <w:sz w:val="24"/>
          <w:u w:val="single"/>
          <w:vertAlign w:val="superscript"/>
        </w:rPr>
        <w:t>os</w:t>
      </w:r>
      <w:r w:rsidRPr="00543995">
        <w:rPr>
          <w:rFonts w:ascii="Arial" w:eastAsia="Calibri" w:hAnsi="Arial" w:cs="Arial"/>
          <w:bCs/>
          <w:iCs/>
          <w:sz w:val="24"/>
        </w:rPr>
        <w:t xml:space="preserve"> 568/2008, 1.378/2008, 4.013/2008, 5.262/2008, 3.506/2009, da 1ª Câmara, 2.809/2008, 1.344/2009, 3.667/2009, da 2ª Câmara, e 1.379/2007, 837/2008, e 3.219/2010, do Plenário.</w:t>
      </w:r>
    </w:p>
    <w:p w:rsidR="00543995" w:rsidRPr="00543995" w:rsidRDefault="00543995" w:rsidP="0068243F">
      <w:pPr>
        <w:spacing w:before="120" w:after="120" w:line="360" w:lineRule="auto"/>
        <w:jc w:val="both"/>
        <w:rPr>
          <w:rFonts w:ascii="Arial" w:eastAsia="Calibri" w:hAnsi="Arial" w:cs="Arial"/>
          <w:bCs/>
          <w:iCs/>
          <w:sz w:val="24"/>
        </w:rPr>
      </w:pPr>
      <w:r w:rsidRPr="00543995">
        <w:rPr>
          <w:rFonts w:ascii="Arial" w:eastAsia="Calibri" w:hAnsi="Arial" w:cs="Arial"/>
          <w:b/>
          <w:bCs/>
          <w:i/>
          <w:iCs/>
          <w:sz w:val="24"/>
        </w:rPr>
        <w:t>Acórdão n.º 1266/2011-Plenário, TC-002.573/2011-3, rel. Min. Ubiratan Aguiar, 18.05.2011.</w:t>
      </w:r>
    </w:p>
    <w:p w:rsidR="00543995" w:rsidRDefault="00543995" w:rsidP="0068243F">
      <w:pPr>
        <w:spacing w:before="120" w:after="120" w:line="360" w:lineRule="auto"/>
        <w:jc w:val="both"/>
        <w:rPr>
          <w:rFonts w:ascii="Arial" w:eastAsia="Calibri" w:hAnsi="Arial" w:cs="Arial"/>
          <w:bCs/>
          <w:iCs/>
          <w:sz w:val="24"/>
        </w:rPr>
      </w:pPr>
    </w:p>
    <w:p w:rsidR="00543995" w:rsidRDefault="00543995" w:rsidP="0068243F">
      <w:pPr>
        <w:spacing w:before="120" w:after="120" w:line="360" w:lineRule="auto"/>
        <w:jc w:val="both"/>
        <w:rPr>
          <w:rFonts w:ascii="Arial" w:eastAsia="Calibri" w:hAnsi="Arial" w:cs="Arial"/>
          <w:b/>
          <w:bCs/>
          <w:iCs/>
          <w:sz w:val="28"/>
        </w:rPr>
      </w:pPr>
      <w:r w:rsidRPr="00543995">
        <w:rPr>
          <w:rFonts w:ascii="Arial" w:eastAsia="Calibri" w:hAnsi="Arial" w:cs="Arial"/>
          <w:b/>
          <w:bCs/>
          <w:iCs/>
          <w:sz w:val="28"/>
        </w:rPr>
        <w:t>Concorrência do tipo técnica e preço para a revisão e elaboração de projeto básico de obra rodoviária:</w:t>
      </w:r>
    </w:p>
    <w:p w:rsidR="00543995" w:rsidRPr="00543995" w:rsidRDefault="00543995" w:rsidP="0068243F">
      <w:pPr>
        <w:spacing w:before="120" w:after="120" w:line="360" w:lineRule="auto"/>
        <w:jc w:val="both"/>
        <w:rPr>
          <w:rFonts w:ascii="Arial" w:eastAsia="Calibri" w:hAnsi="Arial" w:cs="Arial"/>
          <w:bCs/>
          <w:iCs/>
          <w:sz w:val="28"/>
        </w:rPr>
      </w:pPr>
      <w:r w:rsidRPr="00543995">
        <w:rPr>
          <w:rFonts w:ascii="Arial" w:eastAsia="Calibri" w:hAnsi="Arial" w:cs="Arial"/>
          <w:b/>
          <w:bCs/>
          <w:iCs/>
          <w:sz w:val="28"/>
        </w:rPr>
        <w:t>1 – É possível a atribuição de pontuação a partir do critério “fator de permanência”, excetuadas as situações em que o objeto específico da licitação, pelas condições de mercado, permita concluir que seria possível execução a contento, mesmo que a contratada não possua em seus quadros profissionais estáveis e reconhecidos</w:t>
      </w:r>
    </w:p>
    <w:p w:rsidR="00543995" w:rsidRPr="00543995" w:rsidRDefault="00543995" w:rsidP="0068243F">
      <w:pPr>
        <w:spacing w:before="120" w:after="120" w:line="360" w:lineRule="auto"/>
        <w:jc w:val="both"/>
        <w:rPr>
          <w:rFonts w:ascii="Arial" w:eastAsia="Calibri" w:hAnsi="Arial" w:cs="Arial"/>
          <w:b/>
          <w:bCs/>
          <w:i/>
          <w:iCs/>
          <w:sz w:val="24"/>
        </w:rPr>
      </w:pPr>
      <w:r w:rsidRPr="00543995">
        <w:rPr>
          <w:rFonts w:ascii="Arial" w:eastAsia="Calibri" w:hAnsi="Arial" w:cs="Arial"/>
          <w:bCs/>
          <w:iCs/>
          <w:sz w:val="24"/>
        </w:rPr>
        <w:t>Representação informou ao Tribunal sobre possíveis irregularidades na Concorrência nº 34/2011, do tipo “técnica e preço”, realizada pelo Departamento Nacional de Infraestrutura de Transportes – (DNIT), e cujo objeto consistiu na revisão e atualização de projeto básico existente e de elaboração de projeto executivo para as obras de melhorias e adequação de capacidade e segurança do anel viário de Belo Horizonte, em trechos das rodovias BR 262 e 040, em Minas Gerais, em lote único. No rol das irregularidades apuradas, figurou a pontuação atribuída para um “fator de permanência”, a ser utilizado como multiplicador para cada atestado relativo às categorias de engenheiros indicadas. Para cada um destes profissionais, o fator de permanência seria igual a 1,0, quando possuísse mais de um ano de atuação na empresa e 0,80, para outras situações. Para a representante, tal exigência seria ilegal, em face do art. 30, § 1º, da Lei nº 8.666/1993, que impossibilita exigências de quantidades mínimas ou prazos máximos quanto a atestados a serem apresentados, para o fim de qualificação técnica. Aditou que o § 5º do mesmo artigo vedaria a exigência de comprovação de atividade ou de aptidão com limitação de tempo ou de época. Afirmou, ainda, que o critério examinado “</w:t>
      </w:r>
      <w:r w:rsidRPr="00543995">
        <w:rPr>
          <w:rFonts w:ascii="Arial" w:eastAsia="Calibri" w:hAnsi="Arial" w:cs="Arial"/>
          <w:bCs/>
          <w:i/>
          <w:iCs/>
          <w:sz w:val="24"/>
        </w:rPr>
        <w:t>restringe a competição a empresas que possam comprovar tais requisitos, frise-se, de natureza não objetiva, mas diretamente pessoal e específico do potencial vencedor, o que pode levar a presumir o direcionamento</w:t>
      </w:r>
      <w:r w:rsidRPr="00543995">
        <w:rPr>
          <w:rFonts w:ascii="Arial" w:eastAsia="Calibri" w:hAnsi="Arial" w:cs="Arial"/>
          <w:bCs/>
          <w:iCs/>
          <w:sz w:val="24"/>
        </w:rPr>
        <w:t>”. Ao examinar a matéria, a unidade técnica discordou da linha de raciocínio da representante. Segundo a unidade instrutiva, apesar das variações jurisprudenciais no Tribunal a respeito do assunto, no caso concreto, não haveria irregularidade na aplicação do fator de permanência, o qual garantiria melhor pontuação para empresas que estivessem atuando de modo mais estável no mercado. Além disso, ainda para a unidade técnica,</w:t>
      </w:r>
      <w:r w:rsidRPr="00543995">
        <w:rPr>
          <w:rFonts w:ascii="Arial" w:eastAsia="Calibri" w:hAnsi="Arial" w:cs="Arial"/>
          <w:bCs/>
          <w:i/>
          <w:iCs/>
          <w:sz w:val="24"/>
        </w:rPr>
        <w:t xml:space="preserve"> “a diferenciação produzida pelo fator de permanência é de 20% em parte da proposta técnica, de modo que, embora seja significativa, não pode ser vista como abusiva ou desproporcional”.</w:t>
      </w:r>
      <w:r w:rsidRPr="00543995">
        <w:rPr>
          <w:rFonts w:ascii="Arial" w:eastAsia="Calibri" w:hAnsi="Arial" w:cs="Arial"/>
          <w:bCs/>
          <w:iCs/>
          <w:sz w:val="24"/>
        </w:rPr>
        <w:t xml:space="preserve"> Ressaltou a unidade responsável pelo processo que “</w:t>
      </w:r>
      <w:r w:rsidRPr="00543995">
        <w:rPr>
          <w:rFonts w:ascii="Arial" w:eastAsia="Calibri" w:hAnsi="Arial" w:cs="Arial"/>
          <w:bCs/>
          <w:i/>
          <w:iCs/>
          <w:sz w:val="24"/>
        </w:rPr>
        <w:t>a conclusão de que o fator de permanência é inadequado à competição somente deve ser adotada quando houver fatos referentes ao objeto específico da licitação que demonstrem tal situação, especialmente em razão da condição do mercado e em função da comprovação de que o objeto pode ser alcançado a contento e da melhor forma possível mesmo que a contratada não possua em seus quadros profissionais estáveis e reconhecidos</w:t>
      </w:r>
      <w:r w:rsidRPr="00543995">
        <w:rPr>
          <w:rFonts w:ascii="Arial" w:eastAsia="Calibri" w:hAnsi="Arial" w:cs="Arial"/>
          <w:bCs/>
          <w:iCs/>
          <w:sz w:val="24"/>
        </w:rPr>
        <w:t>”</w:t>
      </w:r>
      <w:r w:rsidRPr="00543995">
        <w:rPr>
          <w:rFonts w:ascii="Arial" w:eastAsia="Calibri" w:hAnsi="Arial" w:cs="Arial"/>
          <w:bCs/>
          <w:i/>
          <w:iCs/>
          <w:sz w:val="24"/>
        </w:rPr>
        <w:t xml:space="preserve">. </w:t>
      </w:r>
      <w:r w:rsidRPr="00543995">
        <w:rPr>
          <w:rFonts w:ascii="Arial" w:eastAsia="Calibri" w:hAnsi="Arial" w:cs="Arial"/>
          <w:bCs/>
          <w:iCs/>
          <w:sz w:val="24"/>
        </w:rPr>
        <w:t>O relator, ao concordar com os exames da unidade técnica, votou, então, pela improcedência da representação, no que foi acompanhado pelo Plenário. Precedentes citados: Acórdãos n</w:t>
      </w:r>
      <w:r w:rsidRPr="00543995">
        <w:rPr>
          <w:rFonts w:ascii="Arial" w:eastAsia="Calibri" w:hAnsi="Arial" w:cs="Arial"/>
          <w:bCs/>
          <w:iCs/>
          <w:sz w:val="24"/>
          <w:u w:val="single"/>
          <w:vertAlign w:val="superscript"/>
        </w:rPr>
        <w:t>os</w:t>
      </w:r>
      <w:r w:rsidRPr="00543995">
        <w:rPr>
          <w:rFonts w:ascii="Arial" w:eastAsia="Calibri" w:hAnsi="Arial" w:cs="Arial"/>
          <w:bCs/>
          <w:iCs/>
          <w:sz w:val="24"/>
        </w:rPr>
        <w:t xml:space="preserve"> 2632/2007 e 2935/2010, ambos do Plenário. </w:t>
      </w:r>
      <w:r w:rsidRPr="00543995">
        <w:rPr>
          <w:rFonts w:ascii="Arial" w:eastAsia="Calibri" w:hAnsi="Arial" w:cs="Arial"/>
          <w:b/>
          <w:bCs/>
          <w:i/>
          <w:iCs/>
          <w:sz w:val="24"/>
        </w:rPr>
        <w:t>Acórdão n.º 1288/2011-Plenário, TC-010.632/2011-5, rel. Min. José Múcio Monteiro, 18.05.2011.</w:t>
      </w:r>
    </w:p>
    <w:p w:rsidR="00543995" w:rsidRPr="00543995" w:rsidRDefault="00543995" w:rsidP="0068243F">
      <w:pPr>
        <w:spacing w:before="120" w:after="120" w:line="360" w:lineRule="auto"/>
        <w:jc w:val="both"/>
        <w:rPr>
          <w:rFonts w:ascii="Arial" w:eastAsia="Calibri" w:hAnsi="Arial" w:cs="Arial"/>
          <w:b/>
          <w:bCs/>
          <w:iCs/>
          <w:sz w:val="24"/>
        </w:rPr>
      </w:pPr>
    </w:p>
    <w:p w:rsidR="00543995" w:rsidRPr="00543995" w:rsidRDefault="00543995" w:rsidP="0068243F">
      <w:pPr>
        <w:spacing w:before="120" w:after="120" w:line="360" w:lineRule="auto"/>
        <w:jc w:val="both"/>
        <w:rPr>
          <w:rFonts w:ascii="Arial" w:eastAsia="Calibri" w:hAnsi="Arial" w:cs="Arial"/>
          <w:b/>
          <w:bCs/>
          <w:iCs/>
          <w:sz w:val="28"/>
        </w:rPr>
      </w:pPr>
      <w:r w:rsidRPr="00543995">
        <w:rPr>
          <w:rFonts w:ascii="Arial" w:eastAsia="Calibri" w:hAnsi="Arial" w:cs="Arial"/>
          <w:b/>
          <w:bCs/>
          <w:iCs/>
          <w:sz w:val="28"/>
        </w:rPr>
        <w:t>2 - limitação das propostas de preço ao orçamento de referência da licitação é aplicável também às licitações que utilizem o tipo técnica e preço</w:t>
      </w:r>
    </w:p>
    <w:p w:rsidR="00543995" w:rsidRDefault="00543995" w:rsidP="0068243F">
      <w:pPr>
        <w:spacing w:before="120" w:after="120" w:line="360" w:lineRule="auto"/>
        <w:jc w:val="both"/>
        <w:rPr>
          <w:rFonts w:ascii="Arial" w:eastAsia="Calibri" w:hAnsi="Arial" w:cs="Arial"/>
          <w:b/>
          <w:bCs/>
          <w:i/>
          <w:iCs/>
          <w:sz w:val="24"/>
        </w:rPr>
      </w:pPr>
      <w:r w:rsidRPr="00543995">
        <w:rPr>
          <w:rFonts w:ascii="Arial" w:eastAsia="Calibri" w:hAnsi="Arial" w:cs="Arial"/>
          <w:bCs/>
          <w:iCs/>
          <w:sz w:val="24"/>
        </w:rPr>
        <w:t>Ainda na representação que informou ao Tribunal sobre possíveis irregularidades na Concorrência nº 34/2011, do tipo “técnica e preço”, realizada pelo Departamento Nacional de Infraestrutura de Transportes – (DNIT), a representante contestou a limitação das propostas de preço ao orçamento de referência da licitação, afirmando que isso só seria admissível em licitação que utilizasse o tipo melhor técnica. Para ela, “</w:t>
      </w:r>
      <w:r w:rsidRPr="00543995">
        <w:rPr>
          <w:rFonts w:ascii="Arial" w:eastAsia="Calibri" w:hAnsi="Arial" w:cs="Arial"/>
          <w:bCs/>
          <w:i/>
          <w:iCs/>
          <w:sz w:val="24"/>
        </w:rPr>
        <w:t>a disposição legal para a fixação do limite de preço está contida no § 1º do art. 46 da Lei nº 8.666/1993, o qual é direcionado apenas às licitações do tipo melhor técnica. Além disso, ao tratar dos procedimentos das licitações do tipo técnica e preço, o § 2º do mesmo artigo não remete a nenhuma regra sobre limitação de preços</w:t>
      </w:r>
      <w:r w:rsidRPr="00543995">
        <w:rPr>
          <w:rFonts w:ascii="Arial" w:eastAsia="Calibri" w:hAnsi="Arial" w:cs="Arial"/>
          <w:bCs/>
          <w:iCs/>
          <w:sz w:val="24"/>
        </w:rPr>
        <w:t>”. Para a unidade técnica, “</w:t>
      </w:r>
      <w:r w:rsidRPr="00543995">
        <w:rPr>
          <w:rFonts w:ascii="Arial" w:eastAsia="Calibri" w:hAnsi="Arial" w:cs="Arial"/>
          <w:bCs/>
          <w:i/>
          <w:iCs/>
          <w:sz w:val="24"/>
        </w:rPr>
        <w:t>em que pese ser correta a interpretação do representante de que o artigo 46 não explicita a regra de limitação do preço para licitações do tipo técnica e preço, observa-se que essa regra é geral e permeia a Lei nº 8.666/1993 em algumas de suas partes, explicitamente ou não, e não pode ser questionada ou desobedecida sob nenhum pretexto</w:t>
      </w:r>
      <w:r w:rsidRPr="00543995">
        <w:rPr>
          <w:rFonts w:ascii="Arial" w:eastAsia="Calibri" w:hAnsi="Arial" w:cs="Arial"/>
          <w:bCs/>
          <w:iCs/>
          <w:sz w:val="24"/>
        </w:rPr>
        <w:t>”</w:t>
      </w:r>
      <w:r w:rsidRPr="00543995">
        <w:rPr>
          <w:rFonts w:ascii="Arial" w:eastAsia="Calibri" w:hAnsi="Arial" w:cs="Arial"/>
          <w:bCs/>
          <w:i/>
          <w:iCs/>
          <w:sz w:val="24"/>
        </w:rPr>
        <w:t>.</w:t>
      </w:r>
      <w:r w:rsidRPr="00543995">
        <w:rPr>
          <w:rFonts w:ascii="Arial" w:eastAsia="Calibri" w:hAnsi="Arial" w:cs="Arial"/>
          <w:bCs/>
          <w:iCs/>
          <w:sz w:val="24"/>
        </w:rPr>
        <w:t xml:space="preserve"> Nesse quadro, a unidade técnica citou os artigos 40 e 48 da Lei 8.666/1993, em cujos âmbitos de aplicação estão todos os tipos e modalidades de licitação. O relator, ao concordar com os exames da unidade técnica, votou, então, pela improcedência da representação, no que foi acompanhado pelo Plenário. </w:t>
      </w:r>
      <w:r w:rsidRPr="00543995">
        <w:rPr>
          <w:rFonts w:ascii="Arial" w:eastAsia="Calibri" w:hAnsi="Arial" w:cs="Arial"/>
          <w:b/>
          <w:bCs/>
          <w:i/>
          <w:iCs/>
          <w:sz w:val="24"/>
        </w:rPr>
        <w:t>Acórdão n.º 1288/2011-Plenário, TC-010.632/2011-5, rel. Min. José Múcio Monteiro, 18.05.2011.</w:t>
      </w:r>
    </w:p>
    <w:p w:rsidR="001854F3" w:rsidRDefault="001854F3" w:rsidP="0068243F">
      <w:pPr>
        <w:spacing w:before="120" w:after="120" w:line="360" w:lineRule="auto"/>
        <w:jc w:val="both"/>
        <w:rPr>
          <w:rFonts w:ascii="Arial" w:eastAsia="Calibri" w:hAnsi="Arial" w:cs="Arial"/>
          <w:b/>
          <w:bCs/>
          <w:i/>
          <w:iCs/>
          <w:sz w:val="24"/>
        </w:rPr>
      </w:pPr>
    </w:p>
    <w:p w:rsidR="001854F3" w:rsidRDefault="001854F3" w:rsidP="0068243F">
      <w:pPr>
        <w:spacing w:before="120" w:after="120" w:line="360" w:lineRule="auto"/>
        <w:jc w:val="center"/>
        <w:rPr>
          <w:rFonts w:ascii="Arial" w:eastAsia="Calibri" w:hAnsi="Arial" w:cs="Arial"/>
          <w:b/>
          <w:bCs/>
          <w:iCs/>
          <w:sz w:val="32"/>
        </w:rPr>
      </w:pPr>
      <w:r>
        <w:rPr>
          <w:rFonts w:ascii="Arial" w:eastAsia="Calibri" w:hAnsi="Arial" w:cs="Arial"/>
          <w:b/>
          <w:bCs/>
          <w:iCs/>
          <w:sz w:val="32"/>
        </w:rPr>
        <w:t>64.</w:t>
      </w:r>
    </w:p>
    <w:p w:rsidR="001854F3" w:rsidRPr="001854F3" w:rsidRDefault="001854F3" w:rsidP="0068243F">
      <w:pPr>
        <w:spacing w:before="120" w:after="120" w:line="360" w:lineRule="auto"/>
        <w:jc w:val="both"/>
        <w:rPr>
          <w:rFonts w:ascii="Arial" w:eastAsia="Calibri" w:hAnsi="Arial" w:cs="Arial"/>
          <w:b/>
          <w:bCs/>
          <w:iCs/>
          <w:sz w:val="28"/>
        </w:rPr>
      </w:pPr>
      <w:r w:rsidRPr="001854F3">
        <w:rPr>
          <w:rFonts w:ascii="Arial" w:eastAsia="Calibri" w:hAnsi="Arial" w:cs="Arial"/>
          <w:b/>
          <w:bCs/>
          <w:iCs/>
          <w:sz w:val="28"/>
        </w:rPr>
        <w:t>Contratação de serviços: 1 – Na formação dos preços constantes das planilhas de custos, devem ser observados os ganhos de escala em razão da quantidade demandada</w:t>
      </w:r>
    </w:p>
    <w:p w:rsidR="001854F3" w:rsidRDefault="001854F3" w:rsidP="0068243F">
      <w:pPr>
        <w:spacing w:before="120" w:after="120" w:line="360" w:lineRule="auto"/>
        <w:jc w:val="both"/>
        <w:rPr>
          <w:rFonts w:ascii="Arial" w:eastAsia="Calibri" w:hAnsi="Arial" w:cs="Arial"/>
          <w:b/>
          <w:bCs/>
          <w:i/>
          <w:iCs/>
          <w:sz w:val="24"/>
        </w:rPr>
      </w:pPr>
      <w:r w:rsidRPr="001854F3">
        <w:rPr>
          <w:rFonts w:ascii="Arial" w:eastAsia="Calibri" w:hAnsi="Arial" w:cs="Arial"/>
          <w:bCs/>
          <w:iCs/>
          <w:sz w:val="24"/>
        </w:rPr>
        <w:t>No âmbito da tomada de contas da Secretaria Executiva do Ministério do Turismo - (MTur), relativa ao exercício de 2007, o TCU examinou o Pregão, para Registro de Preços, nº 22/2005, que teve por objetivo a contratação de solução de produção, gerenciamento e digitalização de documentos. Para o relator, a irregularidade verificada no certame, e no contrato dele decorrente, fora o pagamento de serviços à empresa contratada, com base em planilhas de custos com formação de preços, sem observância da economia de escala. Ao examinar a composição da proposta da empresa, o relator verificou que, das vinte e seis planilhas de custos com formação de preços por faixas de quantidades, relativas aos serviços de digitalização e impressão, dezoito obedeceram ao ganho de escala, ou seja, o preço unitário do serviço decrescia, na medida em que aumentasse a quantidade demandada. Para as demais, os preços unitários das planilhas de custos, além de não observarem ganho de escala, foram majorados de forma desproporcional e sem justificativa. Nesse quadro, considerou antieconômica a contratação, em face de a curva dos preços da proposta vencedora não ter seguido o padrão de uma reta decrescente, inversamente às faixas de crescentes quantidades demandadas, em uma “</w:t>
      </w:r>
      <w:r w:rsidRPr="001854F3">
        <w:rPr>
          <w:rFonts w:ascii="Arial" w:eastAsia="Calibri" w:hAnsi="Arial" w:cs="Arial"/>
          <w:bCs/>
          <w:i/>
          <w:iCs/>
          <w:sz w:val="24"/>
        </w:rPr>
        <w:t>incomum majoração de preços unitários para maiores quantidades, em sentido inverso ao esperado</w:t>
      </w:r>
      <w:r w:rsidRPr="001854F3">
        <w:rPr>
          <w:rFonts w:ascii="Arial" w:eastAsia="Calibri" w:hAnsi="Arial" w:cs="Arial"/>
          <w:bCs/>
          <w:iCs/>
          <w:sz w:val="24"/>
        </w:rPr>
        <w:t xml:space="preserve">”. Registrou, ainda, que houve clara e objetiva demonstração, mediante pesquisas realizadas pela unidade técnica, de que os preços cobrados pela vencedora do certame foram excessivos e, portanto, incompatíveis com os de mercado. Por conseguinte, votou pela irregularidade das contas do responsável envolvido, imputando-lhe, solidariamente com a empresa beneficiada, o débito decorrente da irregular execução do contrato que resultou do Pregão nº 22/2005, sem prejuízo de aplicar a eles multa, no que foi acompanhado pelo Plenário. </w:t>
      </w:r>
      <w:r w:rsidRPr="001854F3">
        <w:rPr>
          <w:rFonts w:ascii="Arial" w:eastAsia="Calibri" w:hAnsi="Arial" w:cs="Arial"/>
          <w:b/>
          <w:bCs/>
          <w:i/>
          <w:iCs/>
          <w:sz w:val="24"/>
        </w:rPr>
        <w:t>Acórdão n.º 1337/2011-Plenário, TC-018.887/2008-1, rel. Min. Walton Alencar Rodrigues, 25.05.2011.</w:t>
      </w:r>
    </w:p>
    <w:p w:rsidR="009C5DD8" w:rsidRDefault="009C5DD8" w:rsidP="0068243F">
      <w:pPr>
        <w:spacing w:before="120" w:after="120" w:line="360" w:lineRule="auto"/>
        <w:jc w:val="both"/>
        <w:rPr>
          <w:rFonts w:ascii="Arial" w:eastAsia="Calibri" w:hAnsi="Arial" w:cs="Arial"/>
          <w:b/>
          <w:bCs/>
          <w:i/>
          <w:iCs/>
          <w:sz w:val="24"/>
        </w:rPr>
      </w:pPr>
    </w:p>
    <w:p w:rsidR="009C5DD8" w:rsidRDefault="009C5DD8" w:rsidP="0068243F">
      <w:pPr>
        <w:spacing w:before="120" w:after="120" w:line="360" w:lineRule="auto"/>
        <w:jc w:val="center"/>
        <w:rPr>
          <w:rFonts w:ascii="Arial" w:eastAsia="Calibri" w:hAnsi="Arial" w:cs="Arial"/>
          <w:b/>
          <w:bCs/>
          <w:iCs/>
          <w:sz w:val="32"/>
        </w:rPr>
      </w:pPr>
      <w:r>
        <w:rPr>
          <w:rFonts w:ascii="Arial" w:eastAsia="Calibri" w:hAnsi="Arial" w:cs="Arial"/>
          <w:b/>
          <w:bCs/>
          <w:iCs/>
          <w:sz w:val="32"/>
        </w:rPr>
        <w:t>65.</w:t>
      </w:r>
    </w:p>
    <w:p w:rsidR="009C5DD8" w:rsidRPr="009C5DD8" w:rsidRDefault="009C5DD8" w:rsidP="0068243F">
      <w:pPr>
        <w:spacing w:before="120" w:after="120" w:line="360" w:lineRule="auto"/>
        <w:jc w:val="both"/>
        <w:rPr>
          <w:rFonts w:ascii="Arial" w:eastAsia="Calibri" w:hAnsi="Arial" w:cs="Arial"/>
          <w:b/>
          <w:bCs/>
          <w:iCs/>
          <w:sz w:val="28"/>
        </w:rPr>
      </w:pPr>
      <w:r w:rsidRPr="009C5DD8">
        <w:rPr>
          <w:rFonts w:ascii="Arial" w:eastAsia="Calibri" w:hAnsi="Arial" w:cs="Arial"/>
          <w:b/>
          <w:bCs/>
          <w:iCs/>
          <w:sz w:val="28"/>
        </w:rPr>
        <w:t xml:space="preserve">A vedação contida no inciso III do art. 9º da Lei 8.666/1993 continua a ter incidência, ainda que na fase externa da licitação já não haja mais vínculo do servidor alcançado pelo dispositivo legal com a licitante </w:t>
      </w:r>
    </w:p>
    <w:p w:rsidR="009C5DD8" w:rsidRDefault="009C5DD8" w:rsidP="0068243F">
      <w:pPr>
        <w:spacing w:before="120" w:after="120" w:line="360" w:lineRule="auto"/>
        <w:jc w:val="both"/>
        <w:rPr>
          <w:rFonts w:ascii="Arial" w:eastAsia="Calibri" w:hAnsi="Arial" w:cs="Arial"/>
          <w:bCs/>
          <w:i/>
          <w:iCs/>
          <w:sz w:val="24"/>
        </w:rPr>
      </w:pPr>
      <w:r w:rsidRPr="009C5DD8">
        <w:rPr>
          <w:rFonts w:ascii="Arial" w:eastAsia="Calibri" w:hAnsi="Arial" w:cs="Arial"/>
          <w:bCs/>
          <w:iCs/>
          <w:sz w:val="24"/>
        </w:rPr>
        <w:t>“</w:t>
      </w:r>
      <w:r w:rsidRPr="009C5DD8">
        <w:rPr>
          <w:rFonts w:ascii="Arial" w:eastAsia="Calibri" w:hAnsi="Arial" w:cs="Arial"/>
          <w:bCs/>
          <w:i/>
          <w:iCs/>
          <w:sz w:val="24"/>
        </w:rPr>
        <w:t>A demissão do cargo em comissão ocupado por dirigente que participou diretamente da fase interna da licitação não impede a incidência da vedação contida no art. 9º, inciso III, da Lei 8.666/1993, uma vez que, embora perdendo a capacidade de influir no resultado da licitação, remanesce a vantagem do maior conhecimento acerca do objeto licitado em relação aos potenciais concorrentes</w:t>
      </w:r>
      <w:r w:rsidRPr="009C5DD8">
        <w:rPr>
          <w:rFonts w:ascii="Arial" w:eastAsia="Calibri" w:hAnsi="Arial" w:cs="Arial"/>
          <w:bCs/>
          <w:iCs/>
          <w:sz w:val="24"/>
        </w:rPr>
        <w:t>”. Foi a esse entendimento a que chegou o TCU ao apreciar pedidos de reexame interpostos por empresa contratada e por diversos responsáveis da Prefeitura Municipal de Morretes, no Paraná, em face do Acórdão 1.733/2010, do Plenário, no qual lhes fora aplicado multa, em decorrência da constatação de restrição indevida de competitividade na Tomada de Preços 6/2008, e declarada a inidoneidade da contratada, para participar de licitações públicas federais pelo prazo de cinco anos. Dentre as várias irregularidades que formaram o quadro fático que levou à condenação dos responsáveis, o relator enfatizou duas. Uma delas foi a participação isolada no certame licitatório de empresa de propriedade de servidora, ao tempo dos fatos, engenheira fiscal da Prefeitura Municipal, empresa a qual fora posteriormente contratada, o que estaria, conforme o decisum inicial, em oposição ao inciso III do art. 9º da Lei nº 8666/1993 e aos princípios constitucionais da moralidade, da isonomia e da impessoalidade. Nesta etapa processual, ao analisar os argumentos apresentados, o relator considerou que, efetivamente, não se poderia negar que houve o acesso privilegiado a informações por parte da ex-fiscal de engenharia da prefeitura de Morretes/PR. Todavia, na espécie, haveria atenuantes a serem ponderados. Dentre eles, o fato de que a responsável deixara o referido cargo dois dias após o lançamento do edital do certame. Assim, para o relator, “</w:t>
      </w:r>
      <w:r w:rsidRPr="009C5DD8">
        <w:rPr>
          <w:rFonts w:ascii="Arial" w:eastAsia="Calibri" w:hAnsi="Arial" w:cs="Arial"/>
          <w:bCs/>
          <w:i/>
          <w:iCs/>
          <w:sz w:val="24"/>
        </w:rPr>
        <w:t>a rigor, a vedação prevista no art. 9º, inciso III, do estatuto inexistiu para a maior parte da fase externa da licitação</w:t>
      </w:r>
      <w:r w:rsidRPr="009C5DD8">
        <w:rPr>
          <w:rFonts w:ascii="Arial" w:eastAsia="Calibri" w:hAnsi="Arial" w:cs="Arial"/>
          <w:bCs/>
          <w:iCs/>
          <w:sz w:val="24"/>
        </w:rPr>
        <w:t>”, apesar da pertinência da crítica da unidade instrutiva de que “</w:t>
      </w:r>
      <w:r w:rsidRPr="009C5DD8">
        <w:rPr>
          <w:rFonts w:ascii="Arial" w:eastAsia="Calibri" w:hAnsi="Arial" w:cs="Arial"/>
          <w:bCs/>
          <w:i/>
          <w:iCs/>
          <w:sz w:val="24"/>
        </w:rPr>
        <w:t>dias antes, a responsável já preparava os documentos da proposta a ser apresentada no certame</w:t>
      </w:r>
      <w:r w:rsidRPr="009C5DD8">
        <w:rPr>
          <w:rFonts w:ascii="Arial" w:eastAsia="Calibri" w:hAnsi="Arial" w:cs="Arial"/>
          <w:bCs/>
          <w:iCs/>
          <w:sz w:val="24"/>
        </w:rPr>
        <w:t>”. Para o relator, a situação evidenciaria que a responsável “</w:t>
      </w:r>
      <w:r w:rsidRPr="009C5DD8">
        <w:rPr>
          <w:rFonts w:ascii="Arial" w:eastAsia="Calibri" w:hAnsi="Arial" w:cs="Arial"/>
          <w:bCs/>
          <w:i/>
          <w:iCs/>
          <w:sz w:val="24"/>
        </w:rPr>
        <w:t>detinha informações de que não dispunham seus eventuais concorrentes, favorecimento que expõe a conduta ao alcance da vedação legal de participação de dirigente</w:t>
      </w:r>
      <w:r w:rsidRPr="009C5DD8">
        <w:rPr>
          <w:rFonts w:ascii="Arial" w:eastAsia="Calibri" w:hAnsi="Arial" w:cs="Arial"/>
          <w:bCs/>
          <w:iCs/>
          <w:sz w:val="24"/>
        </w:rPr>
        <w:t>”. Entretanto, ainda segundo o relator, “</w:t>
      </w:r>
      <w:r w:rsidRPr="009C5DD8">
        <w:rPr>
          <w:rFonts w:ascii="Arial" w:eastAsia="Calibri" w:hAnsi="Arial" w:cs="Arial"/>
          <w:bCs/>
          <w:i/>
          <w:iCs/>
          <w:sz w:val="24"/>
        </w:rPr>
        <w:t>a incapacidade de influir no resultado da licitação é outro objetivo do dispositivo legal mencionado, o qual restou atendido com a demissão da recorrente do cargo que então ocupava na prefeitura</w:t>
      </w:r>
      <w:r w:rsidRPr="009C5DD8">
        <w:rPr>
          <w:rFonts w:ascii="Arial" w:eastAsia="Calibri" w:hAnsi="Arial" w:cs="Arial"/>
          <w:bCs/>
          <w:iCs/>
          <w:sz w:val="24"/>
        </w:rPr>
        <w:t xml:space="preserve">”. Por conseguinte, ao ponderar esta e outras atenuantes, sem deixar, contudo, de considerar o procedimento irregular, concluiu o relator ser a apenação veiculada na decisão inicial de demasiado rigor, razão pela qual votou pelo provimento parcial dos pedidos de reexame apresentados, para adequar as sanções aplicadas à gravidade das condutas observadas, no que contou com a anuência do Plenário. </w:t>
      </w:r>
      <w:r w:rsidRPr="009C5DD8">
        <w:rPr>
          <w:rFonts w:ascii="Arial" w:eastAsia="Calibri" w:hAnsi="Arial" w:cs="Arial"/>
          <w:b/>
          <w:bCs/>
          <w:i/>
          <w:iCs/>
          <w:sz w:val="24"/>
        </w:rPr>
        <w:t>Acórdão n.º 1448/2011-Plenário, TC-008.298/2009-7, rel. Min. Augusto Nardes, 1º.06.2011</w:t>
      </w:r>
      <w:r w:rsidRPr="009C5DD8">
        <w:rPr>
          <w:rFonts w:ascii="Arial" w:eastAsia="Calibri" w:hAnsi="Arial" w:cs="Arial"/>
          <w:bCs/>
          <w:i/>
          <w:iCs/>
          <w:sz w:val="24"/>
        </w:rPr>
        <w:t>.</w:t>
      </w:r>
    </w:p>
    <w:p w:rsidR="009C5DD8" w:rsidRDefault="009C5DD8" w:rsidP="0068243F">
      <w:pPr>
        <w:spacing w:before="120" w:after="120" w:line="360" w:lineRule="auto"/>
        <w:jc w:val="both"/>
        <w:rPr>
          <w:rFonts w:ascii="Arial" w:eastAsia="Calibri" w:hAnsi="Arial" w:cs="Arial"/>
          <w:bCs/>
          <w:i/>
          <w:iCs/>
          <w:sz w:val="24"/>
        </w:rPr>
      </w:pPr>
    </w:p>
    <w:p w:rsidR="009C5DD8" w:rsidRPr="009C5DD8" w:rsidRDefault="009C5DD8" w:rsidP="0068243F">
      <w:pPr>
        <w:spacing w:before="120" w:after="120" w:line="360" w:lineRule="auto"/>
        <w:jc w:val="both"/>
        <w:rPr>
          <w:rFonts w:ascii="Arial" w:eastAsia="Calibri" w:hAnsi="Arial" w:cs="Arial"/>
          <w:b/>
          <w:bCs/>
          <w:iCs/>
          <w:sz w:val="28"/>
        </w:rPr>
      </w:pPr>
      <w:r w:rsidRPr="009C5DD8">
        <w:rPr>
          <w:rFonts w:ascii="Arial" w:eastAsia="Calibri" w:hAnsi="Arial" w:cs="Arial"/>
          <w:b/>
          <w:bCs/>
          <w:iCs/>
          <w:sz w:val="28"/>
        </w:rPr>
        <w:t xml:space="preserve">Fiscalização de contratos: no caso de execução irregular, a ausência de providências tempestivas por parte dos responsáveis pelo acompanhamento do contrato pode levar à imputação de responsabilidade, com aplicação das sanções requeridas </w:t>
      </w:r>
    </w:p>
    <w:p w:rsidR="009C5DD8" w:rsidRDefault="009C5DD8" w:rsidP="0068243F">
      <w:pPr>
        <w:spacing w:before="120" w:after="120" w:line="360" w:lineRule="auto"/>
        <w:jc w:val="both"/>
        <w:rPr>
          <w:rFonts w:ascii="Arial" w:eastAsia="Calibri" w:hAnsi="Arial" w:cs="Arial"/>
          <w:b/>
          <w:bCs/>
          <w:i/>
          <w:iCs/>
          <w:sz w:val="24"/>
        </w:rPr>
      </w:pPr>
      <w:r w:rsidRPr="009C5DD8">
        <w:rPr>
          <w:rFonts w:ascii="Arial" w:eastAsia="Calibri" w:hAnsi="Arial" w:cs="Arial"/>
          <w:bCs/>
          <w:iCs/>
          <w:sz w:val="24"/>
        </w:rPr>
        <w:t>“</w:t>
      </w:r>
      <w:r w:rsidRPr="009C5DD8">
        <w:rPr>
          <w:rFonts w:ascii="Arial" w:eastAsia="Calibri" w:hAnsi="Arial" w:cs="Arial"/>
          <w:bCs/>
          <w:i/>
          <w:iCs/>
          <w:sz w:val="24"/>
        </w:rPr>
        <w:t>É dever do gestor público responsável pela condução e fiscalização de contrato administrativo a adoção de providências tempestivas a fim de suspender pagamentos ao primeiro sinal de incompatibilidade entre os produtos e serviços entregues pelo contratado e o objeto do contrato, cabendo-lhe ainda propor a formalização de alterações qualitativas quando de interesse da Administração, ou a rescisão da avença, nos termos estabelecidos na Lei nº 8.666/1993</w:t>
      </w:r>
      <w:r w:rsidRPr="009C5DD8">
        <w:rPr>
          <w:rFonts w:ascii="Arial" w:eastAsia="Calibri" w:hAnsi="Arial" w:cs="Arial"/>
          <w:bCs/>
          <w:iCs/>
          <w:sz w:val="24"/>
        </w:rPr>
        <w:t>”. Essa a conclusão a que chegou o Tribunal, ao apreciar tomada de contas especial na qual apurou potenciais prejuízos ao erário na execução do Contrato nº 40/2004, firmado entre o Ministério da Previdência Social – (MPS) e instituição privada, cujo objeto consistiu na execução de projeto de pesquisa e desenvolvimento de um sistema integrado, utilizando gestão do conhecimento com inteligência artificial, para implantação da Metodologia de Gerenciamento de Riscos da Previdência Social – (Projeto GR). Após a oitiva dos responsáveis, o relator delineou quadro fático relativo à execução do contrato eivado de diversas irregularidades, em especial, o atesto de notas fiscais referentes a produtos e serviços executados em desconformidade com as especificações contratuais, mesmo diante de notas técnicas que denotavam a inadequação dos módulos entregues, bem como permissões para que fossem feitas alterações nas especificações dos produtos e no cronograma de entregas, quando na realidade deveriam ter sido tomadas providências, por parte do MPS, no sentido de rescindir o contrato e obter o ressarcimento ao erário dos recursos despendidos sem a devida contrapartida em fornecimento de serviços adequados por parte da empresa contratada. Segundo o relator, por sua extrema importância, havia expectativa de que a contratação assumisse papel paradigmático e inovador no âmbito não só da Previdência Social, mas de toda a Administração Pública Federal. Entretanto, desde seu início, a contratação foi falha, tendo a situação se agravado, ante a inação dos responsáveis, dos quais era exigida a adoção de providências concretas na fase de execução do contrato, “</w:t>
      </w:r>
      <w:r w:rsidRPr="009C5DD8">
        <w:rPr>
          <w:rFonts w:ascii="Arial" w:eastAsia="Calibri" w:hAnsi="Arial" w:cs="Arial"/>
          <w:bCs/>
          <w:i/>
          <w:iCs/>
          <w:sz w:val="24"/>
        </w:rPr>
        <w:t>com vistas à formalização de alterações, mediante termos de aditamento, que gerassem redução no montante financeiro ajustado entre as partes, ou a paralisação da execução até que fossem solucionadas todas as pendências</w:t>
      </w:r>
      <w:r w:rsidRPr="009C5DD8">
        <w:rPr>
          <w:rFonts w:ascii="Arial" w:eastAsia="Calibri" w:hAnsi="Arial" w:cs="Arial"/>
          <w:bCs/>
          <w:iCs/>
          <w:sz w:val="24"/>
        </w:rPr>
        <w:t xml:space="preserve">”. Noutro ponto, o relator entendeu ser incabível o argumento de que o contrato foi pioneiro no âmbito da administração pública, sujeito a variações naturais que não poderiam ser, à época, previstas. Para ele, tal fato não afastaria a reprovabilidade da conduta dos responsáveis, pois, na verdade, a irregularidade não estaria na estimativa de preços e nas específicas circunstâncias que podem ter permeado a fase de pré-contratação, mas sim nos atos comissivos e omissivos levados à efeito durante a execução do contrato, os quais resultaram em produtos e serviços que não contemplaram tecnologias e soluções adequadas, em frontal descumprimento ao objeto proposto e contratado. Por conseguinte, votou pela condenação, em débito, dos responsáveis envolvidos solidariamente com a instituição privada que deveria ter executado o objeto da avença. Votou, ainda, considerando de elevada gravidade as ações dos gestores, por que fossem eles inabilitados, por um período de cinco anos, para o exercício de cargo em comissão ou função de confiança no âmbito da Administração Pública, no que foi acompanhado pelos Plenário. </w:t>
      </w:r>
      <w:r w:rsidRPr="009C5DD8">
        <w:rPr>
          <w:rFonts w:ascii="Arial" w:eastAsia="Calibri" w:hAnsi="Arial" w:cs="Arial"/>
          <w:b/>
          <w:bCs/>
          <w:i/>
          <w:iCs/>
          <w:sz w:val="24"/>
        </w:rPr>
        <w:t>Acórdão n.º 1450/2011-Plenário, TC-021.726/2007-4, rel. Min. Augusto Nardes, 1º.06.2011.</w:t>
      </w:r>
    </w:p>
    <w:p w:rsidR="009C5DD8" w:rsidRDefault="009C5DD8" w:rsidP="0068243F">
      <w:pPr>
        <w:spacing w:before="120" w:after="120" w:line="360" w:lineRule="auto"/>
        <w:jc w:val="both"/>
        <w:rPr>
          <w:rFonts w:ascii="Arial" w:eastAsia="Calibri" w:hAnsi="Arial" w:cs="Arial"/>
          <w:b/>
          <w:bCs/>
          <w:i/>
          <w:iCs/>
          <w:sz w:val="24"/>
        </w:rPr>
      </w:pPr>
    </w:p>
    <w:p w:rsidR="009C5DD8" w:rsidRPr="009C5DD8" w:rsidRDefault="009C5DD8" w:rsidP="0068243F">
      <w:pPr>
        <w:spacing w:before="120" w:after="120" w:line="360" w:lineRule="auto"/>
        <w:jc w:val="both"/>
        <w:rPr>
          <w:rFonts w:ascii="Arial" w:eastAsia="Calibri" w:hAnsi="Arial" w:cs="Arial"/>
          <w:b/>
          <w:bCs/>
          <w:iCs/>
          <w:sz w:val="28"/>
        </w:rPr>
      </w:pPr>
      <w:r w:rsidRPr="009C5DD8">
        <w:rPr>
          <w:rFonts w:ascii="Arial" w:eastAsia="Calibri" w:hAnsi="Arial" w:cs="Arial"/>
          <w:b/>
          <w:bCs/>
          <w:iCs/>
          <w:sz w:val="28"/>
        </w:rPr>
        <w:t>Na utilização do inciso IV do art. 24 da Lei 8.666/1993 como fundamento da contratação direta, as obras e/ou serviços contratados devem estar adstritos ao necessário para que se evitem maiores danos ao erário</w:t>
      </w:r>
    </w:p>
    <w:p w:rsidR="009C5DD8" w:rsidRDefault="009C5DD8" w:rsidP="0068243F">
      <w:pPr>
        <w:spacing w:before="120" w:after="120" w:line="360" w:lineRule="auto"/>
        <w:jc w:val="both"/>
        <w:rPr>
          <w:rFonts w:ascii="Arial" w:eastAsia="Calibri" w:hAnsi="Arial" w:cs="Arial"/>
          <w:b/>
          <w:bCs/>
          <w:i/>
          <w:iCs/>
          <w:sz w:val="24"/>
        </w:rPr>
      </w:pPr>
      <w:r w:rsidRPr="009C5DD8">
        <w:rPr>
          <w:rFonts w:ascii="Arial" w:eastAsia="Calibri" w:hAnsi="Arial" w:cs="Arial"/>
          <w:bCs/>
          <w:iCs/>
          <w:sz w:val="24"/>
        </w:rPr>
        <w:t>Denúncia, com pedido de medida cautelar, foi formulada ao Tribunal por conta de supostas irregularidades perpetradas no âmbito do Instituto Federal de Educação, Ciência e Tecnologia do Piauí - (IFPI), atinentes à conclusão da obra do Campus Paulistana, na cidade de Paulistana/PI, dentre as quais, de acordo com o relator, estaria a utilização do inc. IV do art. 24 da Lei 8.666/1993 (dispensa de licitação amparada na emergência) para a contratação de todo restante da obra. Para ele, “não se pode olvidar que ‘licitação’ é regra, ao passo que ‘contratação’ direta é exceção, a ser devidamente motivada”. Poder-se-ia até admitir em situações dessa natureza, emergenciais, sempre mediante justificativa, a contratação de partes da obra ou de alguns serviços mais específicos, cuja não finalização em caráter de urgência pudesse causar sérios danos à estrutura já edificada, acarretando, por exemplo, a deterioração dos bens já empregados na obra. Assim, vislumbrou o relator, em juízo de cognição sumária, além de outras, irregularidade na decisão do IFPI em contratar todo o restante da obra, com fundamento no inc. IV do art. 24 da Lei 8.666/1993. Por conseguinte, concluiu pela necessidade de adoção de medida cautelar para que se determinasse ao Instituto Federal de Educação, Ciência e Tecnologia do Piauí que se abstivesse de celebrar o contrato emergencial para conclusão da obra do Campus Paulistana/PI, decorrente do procedimento previsto no “edital de consulta”, até que o Tribunal delibere sobre o mérito da matéria.</w:t>
      </w:r>
      <w:r w:rsidRPr="009C5DD8">
        <w:rPr>
          <w:rFonts w:ascii="Arial" w:eastAsia="Calibri" w:hAnsi="Arial" w:cs="Arial"/>
          <w:b/>
          <w:bCs/>
          <w:i/>
          <w:iCs/>
          <w:sz w:val="24"/>
        </w:rPr>
        <w:t xml:space="preserve"> Precedente citado: Decisão nº 347/1994, do Plenário. Decisão monocrática no TC-014.245/2011-6, rel. Min. José Jorge, 1º.06.2011.</w:t>
      </w:r>
    </w:p>
    <w:p w:rsidR="000238E8" w:rsidRDefault="000238E8" w:rsidP="0068243F">
      <w:pPr>
        <w:spacing w:before="120" w:after="120" w:line="360" w:lineRule="auto"/>
        <w:jc w:val="both"/>
        <w:rPr>
          <w:rFonts w:ascii="Arial" w:eastAsia="Calibri" w:hAnsi="Arial" w:cs="Arial"/>
          <w:b/>
          <w:bCs/>
          <w:i/>
          <w:iCs/>
          <w:sz w:val="24"/>
        </w:rPr>
      </w:pPr>
    </w:p>
    <w:p w:rsidR="000238E8" w:rsidRDefault="004B51C2" w:rsidP="0068243F">
      <w:pPr>
        <w:spacing w:before="120" w:after="120" w:line="360" w:lineRule="auto"/>
        <w:jc w:val="center"/>
        <w:rPr>
          <w:rFonts w:ascii="Arial" w:eastAsia="Calibri" w:hAnsi="Arial" w:cs="Arial"/>
          <w:b/>
          <w:bCs/>
          <w:iCs/>
          <w:sz w:val="32"/>
        </w:rPr>
      </w:pPr>
      <w:r>
        <w:rPr>
          <w:rFonts w:ascii="Arial" w:eastAsia="Calibri" w:hAnsi="Arial" w:cs="Arial"/>
          <w:b/>
          <w:bCs/>
          <w:iCs/>
          <w:sz w:val="32"/>
        </w:rPr>
        <w:t>67.</w:t>
      </w:r>
    </w:p>
    <w:p w:rsidR="004B51C2" w:rsidRPr="004B51C2" w:rsidRDefault="004B51C2" w:rsidP="0068243F">
      <w:pPr>
        <w:spacing w:before="120" w:after="120" w:line="360" w:lineRule="auto"/>
        <w:jc w:val="center"/>
        <w:rPr>
          <w:rFonts w:ascii="Arial" w:eastAsia="Calibri" w:hAnsi="Arial" w:cs="Arial"/>
          <w:b/>
          <w:bCs/>
          <w:iCs/>
          <w:sz w:val="32"/>
        </w:rPr>
      </w:pPr>
    </w:p>
    <w:p w:rsidR="004B51C2" w:rsidRPr="004B51C2" w:rsidRDefault="004B51C2" w:rsidP="0068243F">
      <w:pPr>
        <w:spacing w:after="0" w:line="360" w:lineRule="auto"/>
        <w:jc w:val="both"/>
        <w:rPr>
          <w:rFonts w:ascii="Arial" w:eastAsia="Calibri" w:hAnsi="Arial" w:cs="Arial"/>
          <w:b/>
          <w:sz w:val="28"/>
        </w:rPr>
      </w:pPr>
      <w:r w:rsidRPr="004B51C2">
        <w:rPr>
          <w:rFonts w:ascii="Arial" w:eastAsia="Calibri" w:hAnsi="Arial" w:cs="Arial"/>
          <w:b/>
          <w:sz w:val="28"/>
        </w:rPr>
        <w:t>A dispensa de licitação prevista no inciso IV do art. 24 da Lei 8.666/1993 não distingue a emergência real, resultante do imprevisível, daquela resultante da incúria ou inércia administrativa, cabendo a utilização do dispositivo desde que devidamente caracterizada a urgência de atendimento a situação que possa ocasionar prejuízo ou comprometer a segurança de pessoas, obras, serviços, equipamentos e outros bens, públicos ou particulares</w:t>
      </w:r>
    </w:p>
    <w:p w:rsidR="004B51C2" w:rsidRDefault="004B51C2" w:rsidP="0068243F">
      <w:pPr>
        <w:tabs>
          <w:tab w:val="left" w:pos="1134"/>
        </w:tabs>
        <w:spacing w:after="0" w:line="360" w:lineRule="auto"/>
        <w:jc w:val="both"/>
        <w:rPr>
          <w:rFonts w:ascii="Arial" w:eastAsia="Calibri" w:hAnsi="Arial" w:cs="Arial"/>
          <w:sz w:val="24"/>
        </w:rPr>
      </w:pPr>
      <w:r w:rsidRPr="004B51C2">
        <w:rPr>
          <w:rFonts w:ascii="Arial" w:eastAsia="Calibri" w:hAnsi="Arial" w:cs="Arial"/>
          <w:sz w:val="24"/>
        </w:rPr>
        <w:t>Pedido de reexame interposto pelo</w:t>
      </w:r>
      <w:r w:rsidRPr="004B51C2">
        <w:rPr>
          <w:rFonts w:ascii="Arial" w:eastAsia="Calibri" w:hAnsi="Arial" w:cs="Arial"/>
          <w:color w:val="000000"/>
          <w:sz w:val="24"/>
        </w:rPr>
        <w:t xml:space="preserve"> </w:t>
      </w:r>
      <w:r w:rsidRPr="004B51C2">
        <w:rPr>
          <w:rFonts w:ascii="Arial" w:eastAsia="Calibri" w:hAnsi="Arial" w:cs="Arial"/>
          <w:sz w:val="24"/>
        </w:rPr>
        <w:t xml:space="preserve">ex-Superintendente da Administração dos Portos de Paranaguá e Antonina - (APPA) contra o Acórdão 2.659/2010, do Plenário, que tratou, originariamente, de solicitação do Congresso Nacional para que </w:t>
      </w:r>
      <w:r w:rsidRPr="004B51C2">
        <w:rPr>
          <w:rFonts w:ascii="Arial" w:eastAsia="Calibri" w:hAnsi="Arial" w:cs="Arial"/>
          <w:color w:val="000000"/>
          <w:sz w:val="24"/>
        </w:rPr>
        <w:t xml:space="preserve">apurasse eventuais prejuízos ao patrimônio público federal, decorrentes de ‘gestão temerária’ e de descumprimento do Convênio de Delegação dos Portos de Paranaguá e Antonina. O recorrente </w:t>
      </w:r>
      <w:r w:rsidRPr="004B51C2">
        <w:rPr>
          <w:rFonts w:ascii="Arial" w:eastAsia="Calibri" w:hAnsi="Arial" w:cs="Arial"/>
          <w:sz w:val="24"/>
        </w:rPr>
        <w:t xml:space="preserve">manifestou inconformismo diante da multa que lhe fora aplicada por conta de processo de contratação emergencial, com dispensa de licitação, para execução de serviços de dragagem na Barra da Galheta, situada na Baía de Paranaguá. Por ocasião da prolação do julgado anterior, o Tribunal entendeu que a situação emergencial teria resultado da desídia administrativa, falta de planejamento e má-gestão dos recursos públicos, caso em que, nos termos do entendimento fixado na Decisão TCU 347/1994-Plenário, o gestor deveria ser responsabilizado, em face de sua omissão quanto ao dever de agir a tempo.  Na presente etapa processual, a unidade técnica, ao examinar o recurso, </w:t>
      </w:r>
      <w:r w:rsidRPr="004B51C2">
        <w:rPr>
          <w:rFonts w:ascii="Arial" w:eastAsia="Calibri" w:hAnsi="Arial" w:cs="Arial"/>
          <w:sz w:val="24"/>
          <w:lang w:eastAsia="pt-BR"/>
        </w:rPr>
        <w:t>afirmou que “</w:t>
      </w:r>
      <w:r w:rsidRPr="004B51C2">
        <w:rPr>
          <w:rFonts w:ascii="Arial" w:eastAsia="Calibri" w:hAnsi="Arial" w:cs="Arial"/>
          <w:i/>
          <w:sz w:val="24"/>
          <w:lang w:eastAsia="pt-BR"/>
        </w:rPr>
        <w:t>não é razoável apenar o gestor por falta de planejamento</w:t>
      </w:r>
      <w:r w:rsidRPr="004B51C2">
        <w:rPr>
          <w:rFonts w:ascii="Arial" w:eastAsia="Calibri" w:hAnsi="Arial" w:cs="Arial"/>
          <w:sz w:val="24"/>
          <w:lang w:eastAsia="pt-BR"/>
        </w:rPr>
        <w:t xml:space="preserve">”, pois o próprio TCU reconhecera a necessidade urgente dos serviços de dragagem e que a falta de tais serviços decorreu de dificuldades administrativas, consoante o voto que fundamentou a deliberação recorrida. Além disso, ainda conforme a unidade técnica, a licitação instaurada pela APPA para contratar os serviços de dragagem acabou frustrada, em razão de a única concorrente habilitada ter proposto preço superior ao máximo orçado pela Administração. Finalmente, apontou a unidade instrutiva existência de entraves de cunho ambiental para a execução dos serviços. Por todas essas razões, sugeriu, por conseguinte, que o TCU desse provimento parcial ao pedido de reexame, a fim de reduzir a multa aplicada ao recorrente. Em seu voto, o relator destacou a necessidade de </w:t>
      </w:r>
      <w:r w:rsidRPr="004B51C2">
        <w:rPr>
          <w:rFonts w:ascii="Arial" w:eastAsia="Calibri" w:hAnsi="Arial" w:cs="Arial"/>
          <w:sz w:val="24"/>
        </w:rPr>
        <w:t>se separar a ausência de planejamento da contratação emergencial propriamente dita, por entender que “</w:t>
      </w:r>
      <w:r w:rsidRPr="004B51C2">
        <w:rPr>
          <w:rFonts w:ascii="Arial" w:eastAsia="Calibri" w:hAnsi="Arial" w:cs="Arial"/>
          <w:i/>
          <w:sz w:val="24"/>
        </w:rPr>
        <w:t>a contratação emergencial se dá em função da essencialidade do serviço ou do bem que se pretende adquirir, pouco importando os motivos que tornam imperativa a imediata contratação</w:t>
      </w:r>
      <w:r w:rsidRPr="004B51C2">
        <w:rPr>
          <w:rFonts w:ascii="Arial" w:eastAsia="Calibri" w:hAnsi="Arial" w:cs="Arial"/>
          <w:sz w:val="24"/>
        </w:rPr>
        <w:t>”. Assim, com base em acórdão proferido anteriormente pelo Tribunal, fez registrar que “a</w:t>
      </w:r>
      <w:r w:rsidRPr="004B51C2">
        <w:rPr>
          <w:rFonts w:ascii="Arial" w:eastAsia="Calibri" w:hAnsi="Arial" w:cs="Arial"/>
          <w:i/>
          <w:sz w:val="24"/>
        </w:rPr>
        <w:t xml:space="preserve"> situação prevista no art. 24, IV, da Lei n° 8.666/93 não distingue a emergência real, resultante do imprevisível, daquela resultante da incúria ou inércia administrativa, sendo cabível, em ambas as hipóteses, a contratação direta, desde que devidamente caracterizada a urgência de atendimento a situação que possa ocasionar prejuízo ou comprometer a segurança de pessoas, obras, serviços, equipamentos e outros bens, públicos ou particulares</w:t>
      </w:r>
      <w:r w:rsidRPr="004B51C2">
        <w:rPr>
          <w:rFonts w:ascii="Arial" w:eastAsia="Calibri" w:hAnsi="Arial" w:cs="Arial"/>
          <w:sz w:val="24"/>
        </w:rPr>
        <w:t>”</w:t>
      </w:r>
      <w:r w:rsidRPr="004B51C2">
        <w:rPr>
          <w:rFonts w:ascii="Arial" w:eastAsia="Calibri" w:hAnsi="Arial" w:cs="Arial"/>
          <w:i/>
          <w:sz w:val="24"/>
        </w:rPr>
        <w:t xml:space="preserve">. </w:t>
      </w:r>
      <w:r w:rsidRPr="004B51C2">
        <w:rPr>
          <w:rFonts w:ascii="Arial" w:eastAsia="Calibri" w:hAnsi="Arial" w:cs="Arial"/>
          <w:sz w:val="24"/>
        </w:rPr>
        <w:t>Em consequência, votou pelo provimento parcial do recurso, para que fosse reduzido o valor da multa aplicada anteriormente. Contudo, manteve a condenação originária, em face de outras irregularidades, no que foi acompanhado pelo Plenário. Precedente citado:</w:t>
      </w:r>
      <w:r w:rsidRPr="004B51C2">
        <w:rPr>
          <w:rFonts w:ascii="Arial" w:eastAsia="Calibri" w:hAnsi="Arial" w:cs="Arial"/>
          <w:color w:val="FF0000"/>
          <w:sz w:val="24"/>
        </w:rPr>
        <w:t xml:space="preserve"> </w:t>
      </w:r>
      <w:r w:rsidRPr="004B51C2">
        <w:rPr>
          <w:rFonts w:ascii="Arial" w:eastAsia="Calibri" w:hAnsi="Arial" w:cs="Arial"/>
          <w:sz w:val="24"/>
        </w:rPr>
        <w:t xml:space="preserve">Acórdão nº 1138/2011, do Plenário. </w:t>
      </w:r>
      <w:r w:rsidRPr="004B51C2">
        <w:rPr>
          <w:rFonts w:ascii="Arial" w:eastAsia="Calibri" w:hAnsi="Arial" w:cs="Arial"/>
          <w:color w:val="FF0000"/>
          <w:sz w:val="24"/>
        </w:rPr>
        <w:t xml:space="preserve"> </w:t>
      </w:r>
      <w:r w:rsidRPr="004B51C2">
        <w:rPr>
          <w:rFonts w:ascii="Arial" w:eastAsia="Calibri" w:hAnsi="Arial" w:cs="Arial"/>
          <w:b/>
          <w:i/>
          <w:sz w:val="24"/>
        </w:rPr>
        <w:t>Acórdão n.º 1599/2011-Plenário, TC-013.519/2005-8, rel. Min. Ubiratan Aguiar, 15.06.2011</w:t>
      </w:r>
      <w:r w:rsidRPr="004B51C2">
        <w:rPr>
          <w:rFonts w:ascii="Arial" w:eastAsia="Calibri" w:hAnsi="Arial" w:cs="Arial"/>
          <w:sz w:val="24"/>
        </w:rPr>
        <w:t>.</w:t>
      </w:r>
    </w:p>
    <w:p w:rsidR="0008653E" w:rsidRDefault="0008653E" w:rsidP="0068243F">
      <w:pPr>
        <w:tabs>
          <w:tab w:val="left" w:pos="1134"/>
        </w:tabs>
        <w:spacing w:after="0" w:line="360" w:lineRule="auto"/>
        <w:jc w:val="both"/>
        <w:rPr>
          <w:rFonts w:ascii="Arial" w:eastAsia="Calibri" w:hAnsi="Arial" w:cs="Arial"/>
          <w:sz w:val="24"/>
        </w:rPr>
      </w:pPr>
    </w:p>
    <w:p w:rsidR="0008653E" w:rsidRPr="0008653E" w:rsidRDefault="0008653E" w:rsidP="0068243F">
      <w:pPr>
        <w:tabs>
          <w:tab w:val="left" w:pos="1134"/>
        </w:tabs>
        <w:spacing w:after="0" w:line="360" w:lineRule="auto"/>
        <w:jc w:val="both"/>
        <w:rPr>
          <w:rFonts w:ascii="Arial" w:eastAsia="Calibri" w:hAnsi="Arial" w:cs="Arial"/>
          <w:b/>
          <w:snapToGrid w:val="0"/>
          <w:sz w:val="28"/>
        </w:rPr>
      </w:pPr>
      <w:r w:rsidRPr="0008653E">
        <w:rPr>
          <w:rFonts w:ascii="Arial" w:eastAsia="Calibri" w:hAnsi="Arial" w:cs="Arial"/>
          <w:b/>
          <w:snapToGrid w:val="0"/>
          <w:sz w:val="28"/>
        </w:rPr>
        <w:t>É de responsabilidade da autoridade ordenadora da despesa em um processo licitatório checar se os atos produzidos por aqueles que se encontram sob sua hierarquia estão em conformidade com a ordem jurídica</w:t>
      </w:r>
    </w:p>
    <w:p w:rsidR="0008653E" w:rsidRPr="0008653E" w:rsidRDefault="0008653E" w:rsidP="0068243F">
      <w:pPr>
        <w:tabs>
          <w:tab w:val="left" w:pos="1134"/>
        </w:tabs>
        <w:spacing w:after="0" w:line="360" w:lineRule="auto"/>
        <w:jc w:val="both"/>
        <w:rPr>
          <w:rFonts w:ascii="Arial" w:eastAsia="Calibri" w:hAnsi="Arial" w:cs="Arial"/>
          <w:snapToGrid w:val="0"/>
          <w:sz w:val="24"/>
        </w:rPr>
      </w:pPr>
      <w:r w:rsidRPr="0008653E">
        <w:rPr>
          <w:rFonts w:ascii="Arial" w:eastAsia="Calibri" w:hAnsi="Arial" w:cs="Arial"/>
          <w:snapToGrid w:val="0"/>
          <w:sz w:val="24"/>
        </w:rPr>
        <w:t>Mediante representação, o Tribunal apurou irregularidades em licitações realizadas pelo Município de Montanhas, no Rio Grande do Norte. Na espécie, foram levados à efeito 3 convites, de números 15, 16 e 17, realizados em 2004, com valor aproximado de R$ 100.000,00 cada. Para os 3 certames, realizados na mesma data, foram convidadas as mesmas 3 empresas, sendo que cada uma foi declarada vencedora de um convite, denotando ajuste prévio entre as empresas e a municipalidade, no sentido de que todas fossem beneficiadas com as obras a serem contratadas.  Ouvida em audiência, a Prefeita do Município ao tempo dos fatos avocou o princípio da confiança para tentar se eximir de responsabilização perante o Tribunal. Para ela, a irregularidade deveria ser imputada aos membros da comissão de licitação, posto que, como Prefeita, não participara da condução do certame, tendo depositado confiança de que o processo seria conduzido adequadamente pelos integrantes daquele órgão colegiado, com o que não concordou a unidade técnica, segundo a qual, “</w:t>
      </w:r>
      <w:r w:rsidRPr="0008653E">
        <w:rPr>
          <w:rFonts w:ascii="Arial" w:eastAsia="Calibri" w:hAnsi="Arial" w:cs="Arial"/>
          <w:i/>
          <w:snapToGrid w:val="0"/>
          <w:sz w:val="24"/>
        </w:rPr>
        <w:t>a alegação de que o princípio da confiança abrigaria a defendente é imprópria</w:t>
      </w:r>
      <w:r w:rsidRPr="0008653E">
        <w:rPr>
          <w:rFonts w:ascii="Arial" w:eastAsia="Calibri" w:hAnsi="Arial" w:cs="Arial"/>
          <w:snapToGrid w:val="0"/>
          <w:sz w:val="24"/>
        </w:rPr>
        <w:t>”</w:t>
      </w:r>
      <w:r w:rsidRPr="0008653E">
        <w:rPr>
          <w:rFonts w:ascii="Arial" w:eastAsia="Calibri" w:hAnsi="Arial" w:cs="Arial"/>
          <w:i/>
          <w:snapToGrid w:val="0"/>
          <w:sz w:val="24"/>
        </w:rPr>
        <w:t xml:space="preserve">, </w:t>
      </w:r>
      <w:r w:rsidRPr="0008653E">
        <w:rPr>
          <w:rFonts w:ascii="Arial" w:eastAsia="Calibri" w:hAnsi="Arial" w:cs="Arial"/>
          <w:snapToGrid w:val="0"/>
          <w:sz w:val="24"/>
        </w:rPr>
        <w:t>pois</w:t>
      </w:r>
      <w:r w:rsidRPr="0008653E">
        <w:rPr>
          <w:rFonts w:ascii="Arial" w:eastAsia="Calibri" w:hAnsi="Arial" w:cs="Arial"/>
          <w:i/>
          <w:snapToGrid w:val="0"/>
          <w:sz w:val="24"/>
        </w:rPr>
        <w:t xml:space="preserve"> “imputam-se como irregularidades à responsável atos de sua própria autoria, no caso, a homologação dos convites n</w:t>
      </w:r>
      <w:r w:rsidRPr="0008653E">
        <w:rPr>
          <w:rFonts w:ascii="Arial" w:eastAsia="Calibri" w:hAnsi="Arial" w:cs="Arial"/>
          <w:i/>
          <w:snapToGrid w:val="0"/>
          <w:sz w:val="24"/>
          <w:u w:val="single"/>
          <w:vertAlign w:val="superscript"/>
        </w:rPr>
        <w:t>os</w:t>
      </w:r>
      <w:r w:rsidRPr="0008653E">
        <w:rPr>
          <w:rFonts w:ascii="Arial" w:eastAsia="Calibri" w:hAnsi="Arial" w:cs="Arial"/>
          <w:i/>
          <w:snapToGrid w:val="0"/>
          <w:sz w:val="24"/>
        </w:rPr>
        <w:t>. 15, 16 e 17/2004</w:t>
      </w:r>
      <w:r w:rsidRPr="0008653E">
        <w:rPr>
          <w:rFonts w:ascii="Arial" w:eastAsia="Calibri" w:hAnsi="Arial" w:cs="Arial"/>
          <w:snapToGrid w:val="0"/>
          <w:sz w:val="24"/>
        </w:rPr>
        <w:t>”. No voto, o relator destacou que “</w:t>
      </w:r>
      <w:r w:rsidRPr="0008653E">
        <w:rPr>
          <w:rFonts w:ascii="Arial" w:eastAsia="Calibri" w:hAnsi="Arial" w:cs="Arial"/>
          <w:i/>
          <w:snapToGrid w:val="0"/>
          <w:sz w:val="24"/>
        </w:rPr>
        <w:t xml:space="preserve">se a responsável decidiu confiar em outras pessoas, </w:t>
      </w:r>
      <w:r w:rsidRPr="0008653E">
        <w:rPr>
          <w:rFonts w:ascii="Arial" w:eastAsia="Calibri" w:hAnsi="Arial" w:cs="Arial"/>
          <w:b/>
          <w:i/>
          <w:snapToGrid w:val="0"/>
          <w:sz w:val="24"/>
        </w:rPr>
        <w:t>in casu</w:t>
      </w:r>
      <w:r w:rsidRPr="0008653E">
        <w:rPr>
          <w:rFonts w:ascii="Arial" w:eastAsia="Calibri" w:hAnsi="Arial" w:cs="Arial"/>
          <w:i/>
          <w:snapToGrid w:val="0"/>
          <w:sz w:val="24"/>
        </w:rPr>
        <w:t>, nos integrantes da Comissão de Licitação, o fez por sua própria conta e risco”.</w:t>
      </w:r>
      <w:r w:rsidRPr="0008653E">
        <w:rPr>
          <w:rFonts w:ascii="Arial" w:eastAsia="Calibri" w:hAnsi="Arial" w:cs="Arial"/>
          <w:snapToGrid w:val="0"/>
          <w:sz w:val="24"/>
        </w:rPr>
        <w:t xml:space="preserve"> Daí que, “</w:t>
      </w:r>
      <w:r w:rsidRPr="0008653E">
        <w:rPr>
          <w:rFonts w:ascii="Arial" w:eastAsia="Calibri" w:hAnsi="Arial" w:cs="Arial"/>
          <w:i/>
          <w:snapToGrid w:val="0"/>
          <w:sz w:val="24"/>
        </w:rPr>
        <w:t>na qualidade de ordenadora de despesa, era sua responsabilidade checar se todos os procedimentos adotados pela Comissão de Licitação encontravam-se de acordo com a legislação aplicável para, só então, chancelar os certames</w:t>
      </w:r>
      <w:r w:rsidRPr="0008653E">
        <w:rPr>
          <w:rFonts w:ascii="Arial" w:eastAsia="Calibri" w:hAnsi="Arial" w:cs="Arial"/>
          <w:snapToGrid w:val="0"/>
          <w:sz w:val="24"/>
        </w:rPr>
        <w:t xml:space="preserve">”. Em consequência, o relator votou pela aplicação de multa à ex-Prefeita e aos demais responsáveis pela irregularidade, o que foi acompanhado pelo Plenário. </w:t>
      </w:r>
      <w:r w:rsidRPr="0008653E">
        <w:rPr>
          <w:rFonts w:ascii="Arial" w:eastAsia="Calibri" w:hAnsi="Arial" w:cs="Arial"/>
          <w:b/>
          <w:i/>
          <w:snapToGrid w:val="0"/>
          <w:sz w:val="24"/>
        </w:rPr>
        <w:t>Acórdão nº 1618/2011-Plenário, TC-032.590/2010-5, rel. Min-Subst. Marcos Bemquerer Costa, 15.06.2011.</w:t>
      </w:r>
    </w:p>
    <w:p w:rsidR="0008653E" w:rsidRPr="004B51C2" w:rsidRDefault="0008653E" w:rsidP="0068243F">
      <w:pPr>
        <w:tabs>
          <w:tab w:val="left" w:pos="1134"/>
        </w:tabs>
        <w:spacing w:after="0" w:line="360" w:lineRule="auto"/>
        <w:jc w:val="both"/>
        <w:rPr>
          <w:rFonts w:ascii="Arial" w:eastAsia="Calibri" w:hAnsi="Arial" w:cs="Arial"/>
          <w:snapToGrid w:val="0"/>
          <w:sz w:val="24"/>
        </w:rPr>
      </w:pPr>
    </w:p>
    <w:p w:rsidR="004B51C2" w:rsidRDefault="0086476C" w:rsidP="0068243F">
      <w:pPr>
        <w:spacing w:before="120" w:after="120" w:line="360" w:lineRule="auto"/>
        <w:jc w:val="center"/>
        <w:rPr>
          <w:rFonts w:ascii="Arial" w:eastAsia="Calibri" w:hAnsi="Arial" w:cs="Arial"/>
          <w:b/>
          <w:bCs/>
          <w:iCs/>
          <w:sz w:val="32"/>
        </w:rPr>
      </w:pPr>
      <w:r>
        <w:rPr>
          <w:rFonts w:ascii="Arial" w:eastAsia="Calibri" w:hAnsi="Arial" w:cs="Arial"/>
          <w:b/>
          <w:bCs/>
          <w:iCs/>
          <w:sz w:val="32"/>
        </w:rPr>
        <w:t>68.</w:t>
      </w:r>
    </w:p>
    <w:p w:rsidR="0086476C" w:rsidRPr="0086476C" w:rsidRDefault="0086476C" w:rsidP="0068243F">
      <w:pPr>
        <w:spacing w:before="120" w:after="120" w:line="360" w:lineRule="auto"/>
        <w:jc w:val="both"/>
        <w:rPr>
          <w:rFonts w:ascii="Arial" w:eastAsia="Calibri" w:hAnsi="Arial" w:cs="Arial"/>
          <w:b/>
          <w:bCs/>
          <w:iCs/>
          <w:sz w:val="24"/>
        </w:rPr>
      </w:pPr>
      <w:r w:rsidRPr="0086476C">
        <w:rPr>
          <w:rFonts w:ascii="Arial" w:eastAsia="Calibri" w:hAnsi="Arial" w:cs="Arial"/>
          <w:b/>
          <w:bCs/>
          <w:iCs/>
          <w:sz w:val="24"/>
        </w:rPr>
        <w:t>Licitação na modalidade convite: a regularidade com a seguridade social e com o FGTS devem ser exigidos de todos os licitantes participantes do certame e não só daquele declarado vencedor</w:t>
      </w:r>
    </w:p>
    <w:p w:rsidR="0086476C" w:rsidRDefault="0086476C" w:rsidP="0068243F">
      <w:pPr>
        <w:spacing w:before="120" w:after="120" w:line="360" w:lineRule="auto"/>
        <w:jc w:val="both"/>
        <w:rPr>
          <w:rFonts w:ascii="Arial" w:eastAsia="Calibri" w:hAnsi="Arial" w:cs="Arial"/>
          <w:b/>
          <w:bCs/>
          <w:iCs/>
          <w:sz w:val="24"/>
        </w:rPr>
      </w:pPr>
      <w:r w:rsidRPr="0086476C">
        <w:rPr>
          <w:rFonts w:ascii="Arial" w:eastAsia="Calibri" w:hAnsi="Arial" w:cs="Arial"/>
          <w:bCs/>
          <w:iCs/>
          <w:sz w:val="24"/>
        </w:rPr>
        <w:t xml:space="preserve">Pedidos de reexame foram interpostos por diversos responsáveis contra o Acórdão 2890/2010, do Plenário, no qual o Tribunal examinou denúncia sobre supostas ilegalidades em licitações realizadas pelo Município de Nordestina/BA, para consecução de obras beneficiadas com recursos oriundos de convênios celebrados com entes federais. Conforme o decisum inicial, uma das irregularidades observadas consistiu na habilitação, em vários convites, de empresas que não apresentaram tempestivamente as devidas certidões de regularidade para com a seguridade social e FGTS, exigência constante do art. 29, inciso IV, da Lei nº 8.666/93. Nesta etapa processual, reforçando conclusões do acórdão recorrido, o relator destacou que não se trata de verificar, no que se refere à regularidade fiscal, apenas a situação da licitante vencedor, mas de todos os licitantes que participem de um convite. Diante disso, “prosseguir em certames com essa ausência e posteriormente homologá-los representa grave afronta à lei”. Votou, então, pelo não provimento dos pedidos de reexame intentados, no que foi acompanhado pelo Plenário. </w:t>
      </w:r>
      <w:r w:rsidRPr="0086476C">
        <w:rPr>
          <w:rFonts w:ascii="Arial" w:eastAsia="Calibri" w:hAnsi="Arial" w:cs="Arial"/>
          <w:b/>
          <w:bCs/>
          <w:iCs/>
          <w:sz w:val="24"/>
        </w:rPr>
        <w:t>Acórdão n.º 1676/2011-Plenário, TC-020.288/2007-5, rel. Min. Ubiratan Aguiar, 22.06.2011.</w:t>
      </w:r>
    </w:p>
    <w:p w:rsidR="0086476C" w:rsidRDefault="0086476C" w:rsidP="0068243F">
      <w:pPr>
        <w:spacing w:before="120" w:after="120" w:line="360" w:lineRule="auto"/>
        <w:jc w:val="both"/>
        <w:rPr>
          <w:rFonts w:ascii="Arial" w:eastAsia="Calibri" w:hAnsi="Arial" w:cs="Arial"/>
          <w:b/>
          <w:bCs/>
          <w:iCs/>
          <w:sz w:val="24"/>
        </w:rPr>
      </w:pPr>
    </w:p>
    <w:p w:rsidR="00CF6006" w:rsidRPr="00CF6006" w:rsidRDefault="00CF6006" w:rsidP="0068243F">
      <w:pPr>
        <w:spacing w:before="120" w:after="120" w:line="360" w:lineRule="auto"/>
        <w:jc w:val="both"/>
        <w:rPr>
          <w:rFonts w:ascii="Arial" w:eastAsia="Calibri" w:hAnsi="Arial" w:cs="Arial"/>
          <w:b/>
          <w:bCs/>
          <w:iCs/>
          <w:sz w:val="24"/>
        </w:rPr>
      </w:pPr>
      <w:r w:rsidRPr="00CF6006">
        <w:rPr>
          <w:rFonts w:ascii="Arial" w:eastAsia="Calibri" w:hAnsi="Arial" w:cs="Arial"/>
          <w:b/>
          <w:bCs/>
          <w:iCs/>
          <w:sz w:val="24"/>
        </w:rPr>
        <w:t xml:space="preserve">No caso de ordem judicial para que a Administração Pública firme contrato decorrente de licitação por ela anteriormente anulada, os valores da planilha orçamentária devem corresponder àqueles que constaram do certame, sendo que as futuras alterações contratuais estão, de modo geral, limitadas aos limites legais impostos pela pelo artigo 65 da Lei 8.666/1993. No caso de alterações qualitativas que demandem que tais limites sejam superados, devem ser observadas as condições e formalidades referidas na Decisão 215/1999 do Plenário do Tribunal </w:t>
      </w:r>
    </w:p>
    <w:p w:rsidR="0086476C" w:rsidRPr="0086476C" w:rsidRDefault="00CF6006" w:rsidP="0068243F">
      <w:pPr>
        <w:spacing w:before="120" w:after="120" w:line="360" w:lineRule="auto"/>
        <w:jc w:val="both"/>
        <w:rPr>
          <w:rFonts w:ascii="Arial" w:eastAsia="Calibri" w:hAnsi="Arial" w:cs="Arial"/>
          <w:bCs/>
          <w:iCs/>
          <w:sz w:val="24"/>
        </w:rPr>
      </w:pPr>
      <w:r w:rsidRPr="00CF6006">
        <w:rPr>
          <w:rFonts w:ascii="Arial" w:eastAsia="Calibri" w:hAnsi="Arial" w:cs="Arial"/>
          <w:bCs/>
          <w:iCs/>
          <w:sz w:val="24"/>
        </w:rPr>
        <w:t xml:space="preserve">Auditoria do Tribunal realizada no Departamento Penitenciário Nacional – (Depen), na Caixa Econômica Federal – (CEF) e no Governo do Estado do Rio Grande do Sul, com o objetivo verificar a conformidade da aplicação de recursos federais em obras públicas de construção e ampliação de penitenciárias, detectou indícios de irregularidades no Contrato nº 329/2010, consistentes em alterações substanciais nos itens de composição da avença, quando comparado com o que fora efetivamente licitado. Inicialmente, certa empresa privada houvera vencido a Concorrência nº 162/2007, anulada pela Secretaria de Segurança Pública do Estado do Rio Grande do Sul, em virtude de erros na planilha orçamentária da licitação. Todavia, posteriormente o Superior Tribunal de Justiça declarou ilegal o ato anulatório da licitação, determinando que o contrato relativo ao certame fosse firmado com a empresa declarada vencedora. Ocorre que, ao invés de firmar contrato nos moldes da licitação que fora anulada, o termo contratual foi assinado pelo Estado do Rio Grande do Sul com as alterações no objeto promovidas para a realização de uma nova licitação planejada para aquele mesmo ano. No entanto, para o relator, “o correto seria a assinatura de um contrato cujo objeto correspondesse ao descrito na planilha orçamentária da primeira licitação”. Após isto, “dever-se-ia promover as alterações contratuais necessárias, respeitando-se o limite legal de 25 % (art. 65,§ 1º, da Lei nº 8.666/1993), tendo-se o valor inicial do contrato como referência”. Caso as mudanças qualitativas o ultrapassassem o limite referencial disposto na Lei nº 8.666/1993, “o aditamento só seria possível se preenchidos os requisitos discriminados na letra ‘b’ na Decisão nº 215/1999 - TCU – Plenário”. Como as formalidades e condições estabelecidas no aresto não foram cumpridas, entendeu o relator tratar de irregularidade grave, de acordo com a classificação adotada pela Lei de Diretrizes Orçamentárias, votou, assim, por que fossem promovidas diversas audiências de responsáveis, sem prejuízo de serem encaminhadas informações aos órgãos e entidades públicos potencialmente envolvidos com as obras em questão a respeito das impropriedades observadas, no que contou com a anuência do Plenário. Precedente citado: Acórdão nº 749/2010, do Plenário.  </w:t>
      </w:r>
      <w:r w:rsidRPr="00CF6006">
        <w:rPr>
          <w:rFonts w:ascii="Arial" w:eastAsia="Calibri" w:hAnsi="Arial" w:cs="Arial"/>
          <w:b/>
          <w:bCs/>
          <w:i/>
          <w:iCs/>
          <w:sz w:val="24"/>
        </w:rPr>
        <w:t>Acórdão n.º 1676/2011-Plenário, TC-008.847/2011-8, rel. Min. Raimundo Carrero, 22.06.2011.</w:t>
      </w:r>
    </w:p>
    <w:p w:rsidR="009C5DD8" w:rsidRPr="009C5DD8" w:rsidRDefault="009C5DD8" w:rsidP="0068243F">
      <w:pPr>
        <w:spacing w:before="120" w:after="120" w:line="360" w:lineRule="auto"/>
        <w:jc w:val="both"/>
        <w:rPr>
          <w:rFonts w:ascii="Arial" w:eastAsia="Calibri" w:hAnsi="Arial" w:cs="Arial"/>
          <w:b/>
          <w:bCs/>
          <w:i/>
          <w:iCs/>
          <w:sz w:val="32"/>
        </w:rPr>
      </w:pPr>
    </w:p>
    <w:p w:rsidR="009C5DD8" w:rsidRPr="009C5DD8" w:rsidRDefault="009C5DD8" w:rsidP="0068243F">
      <w:pPr>
        <w:spacing w:before="120" w:after="120" w:line="360" w:lineRule="auto"/>
        <w:jc w:val="both"/>
        <w:rPr>
          <w:rFonts w:ascii="Arial" w:eastAsia="Calibri" w:hAnsi="Arial" w:cs="Arial"/>
          <w:bCs/>
          <w:iCs/>
          <w:sz w:val="32"/>
        </w:rPr>
      </w:pPr>
    </w:p>
    <w:p w:rsidR="009C5DD8" w:rsidRPr="00F078B0" w:rsidRDefault="00F078B0" w:rsidP="0068243F">
      <w:pPr>
        <w:spacing w:before="120" w:after="120" w:line="360" w:lineRule="auto"/>
        <w:jc w:val="center"/>
        <w:rPr>
          <w:rFonts w:ascii="Arial" w:eastAsia="Calibri" w:hAnsi="Arial" w:cs="Arial"/>
          <w:b/>
          <w:bCs/>
          <w:iCs/>
          <w:sz w:val="32"/>
        </w:rPr>
      </w:pPr>
      <w:r w:rsidRPr="00F078B0">
        <w:rPr>
          <w:rFonts w:ascii="Arial" w:eastAsia="Calibri" w:hAnsi="Arial" w:cs="Arial"/>
          <w:b/>
          <w:bCs/>
          <w:iCs/>
          <w:sz w:val="32"/>
        </w:rPr>
        <w:t>70.</w:t>
      </w:r>
    </w:p>
    <w:p w:rsidR="00F078B0" w:rsidRPr="00F078B0" w:rsidRDefault="00F078B0" w:rsidP="0068243F">
      <w:pPr>
        <w:spacing w:before="120" w:after="120" w:line="360" w:lineRule="auto"/>
        <w:jc w:val="both"/>
        <w:rPr>
          <w:rFonts w:ascii="Arial" w:eastAsia="Calibri" w:hAnsi="Arial" w:cs="Arial"/>
          <w:b/>
          <w:bCs/>
          <w:iCs/>
          <w:sz w:val="24"/>
        </w:rPr>
      </w:pPr>
      <w:r w:rsidRPr="00F078B0">
        <w:rPr>
          <w:rFonts w:ascii="Arial" w:eastAsia="Calibri" w:hAnsi="Arial" w:cs="Arial"/>
          <w:b/>
          <w:bCs/>
          <w:iCs/>
          <w:sz w:val="24"/>
        </w:rPr>
        <w:t>Contratações públicas: 1 – Licitação com a participação de empresas com sócios em comum e que disputam um mesmo item prejudica a isonomia e a competitividade do certame</w:t>
      </w: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Cs/>
          <w:iCs/>
          <w:sz w:val="24"/>
        </w:rPr>
        <w:t>Auditoria realizada pelo Tribunal na Secretaria de Logística e Tecnologia da Informação - (SLTI) do Ministério do Planejamento, Orçamento e Gestão - (MPOG), com o objetivo de verificar a consistência e a confiabilidade dos dados constantes do Sistema Integrado de Administração de Serviços Gerais - (Siasg) e do sistema Comprasnet, principais instrumentos gerenciadores das licitações e compras no âmbito do Governo Federal. A partir dos procedimentos efetuados, foram identificadas empresas com sócios em comum e que apresentaram propostas para o mesmo item de determinada licitação na modalidade pregão, o que poderia caracterizar, na opinião da unidade técnica, indício de conluio, com o propósito de fraudar o certame. Para ela, “</w:t>
      </w:r>
      <w:r w:rsidRPr="00F078B0">
        <w:rPr>
          <w:rFonts w:ascii="Arial" w:eastAsia="Calibri" w:hAnsi="Arial" w:cs="Arial"/>
          <w:bCs/>
          <w:i/>
          <w:iCs/>
          <w:sz w:val="24"/>
        </w:rPr>
        <w:t>se houver a existência de sócios em comum de empresas que disputam o mesmo item de um mesmo certame, há evidente prejuízo à isonomia e à competitividade da licitação</w:t>
      </w:r>
      <w:r w:rsidRPr="00F078B0">
        <w:rPr>
          <w:rFonts w:ascii="Arial" w:eastAsia="Calibri" w:hAnsi="Arial" w:cs="Arial"/>
          <w:bCs/>
          <w:iCs/>
          <w:sz w:val="24"/>
        </w:rPr>
        <w:t>”. Como consequência, ainda para unidade técnica, “</w:t>
      </w:r>
      <w:r w:rsidRPr="00F078B0">
        <w:rPr>
          <w:rFonts w:ascii="Arial" w:eastAsia="Calibri" w:hAnsi="Arial" w:cs="Arial"/>
          <w:bCs/>
          <w:i/>
          <w:iCs/>
          <w:sz w:val="24"/>
        </w:rPr>
        <w:t>é possível que existam empresas atuando como ‘coelho’, ou seja, reduzindo os preços a fim de desestimular a participação de outros licitantes na etapa de lances, desistindo posteriormente do certame para beneficiar a outra empresa que esteja participando do conluio, que, por sua vez, acaba sendo contratada sem ter apresentado a melhor proposta, provocando, assim, prejuízo para a Administração</w:t>
      </w:r>
      <w:r w:rsidRPr="00F078B0">
        <w:rPr>
          <w:rFonts w:ascii="Arial" w:eastAsia="Calibri" w:hAnsi="Arial" w:cs="Arial"/>
          <w:bCs/>
          <w:iCs/>
          <w:sz w:val="24"/>
        </w:rPr>
        <w:t>”</w:t>
      </w:r>
      <w:r w:rsidRPr="00F078B0">
        <w:rPr>
          <w:rFonts w:ascii="Arial" w:eastAsia="Calibri" w:hAnsi="Arial" w:cs="Arial"/>
          <w:bCs/>
          <w:i/>
          <w:iCs/>
          <w:sz w:val="24"/>
        </w:rPr>
        <w:t xml:space="preserve">. </w:t>
      </w:r>
      <w:r w:rsidRPr="00F078B0">
        <w:rPr>
          <w:rFonts w:ascii="Arial" w:eastAsia="Calibri" w:hAnsi="Arial" w:cs="Arial"/>
          <w:bCs/>
          <w:iCs/>
          <w:sz w:val="24"/>
        </w:rPr>
        <w:t>Para minimizar a possibilidade da ocorrência desses conluios, seria recomendável, então, que</w:t>
      </w:r>
      <w:r w:rsidRPr="00F078B0">
        <w:rPr>
          <w:rFonts w:ascii="Arial" w:eastAsia="Calibri" w:hAnsi="Arial" w:cs="Arial"/>
          <w:bCs/>
          <w:i/>
          <w:iCs/>
          <w:sz w:val="24"/>
        </w:rPr>
        <w:t xml:space="preserve"> </w:t>
      </w:r>
      <w:r w:rsidRPr="00F078B0">
        <w:rPr>
          <w:rFonts w:ascii="Arial" w:eastAsia="Calibri" w:hAnsi="Arial" w:cs="Arial"/>
          <w:bCs/>
          <w:iCs/>
          <w:sz w:val="24"/>
        </w:rPr>
        <w:t>os pregoeiros e demais servidores responsáveis pela condução dos procedimentos licitatórios, tomassem ciência da composição societária das empresas participantes dos certames, mediante alerta por intermédio do Comprasnet, a partir de modificações no sistema a serem feitas pela SLTI, o que foi sugerido pela unidade técnica ao relator, que acolheu a proposta, a qual foi referendada pelo Plenário</w:t>
      </w:r>
      <w:r w:rsidRPr="00F078B0">
        <w:rPr>
          <w:rFonts w:ascii="Arial" w:eastAsia="Calibri" w:hAnsi="Arial" w:cs="Arial"/>
          <w:bCs/>
          <w:i/>
          <w:iCs/>
          <w:sz w:val="24"/>
        </w:rPr>
        <w:t xml:space="preserve">. </w:t>
      </w:r>
      <w:r w:rsidRPr="00F078B0">
        <w:rPr>
          <w:rFonts w:ascii="Arial" w:eastAsia="Calibri" w:hAnsi="Arial" w:cs="Arial"/>
          <w:bCs/>
          <w:iCs/>
          <w:sz w:val="24"/>
        </w:rPr>
        <w:t>Precedentes citados: Acórdãos n</w:t>
      </w:r>
      <w:r w:rsidRPr="00F078B0">
        <w:rPr>
          <w:rFonts w:ascii="Arial" w:eastAsia="Calibri" w:hAnsi="Arial" w:cs="Arial"/>
          <w:bCs/>
          <w:iCs/>
          <w:sz w:val="24"/>
          <w:u w:val="single"/>
          <w:vertAlign w:val="superscript"/>
        </w:rPr>
        <w:t>os</w:t>
      </w:r>
      <w:r w:rsidRPr="00F078B0">
        <w:rPr>
          <w:rFonts w:ascii="Arial" w:eastAsia="Calibri" w:hAnsi="Arial" w:cs="Arial"/>
          <w:bCs/>
          <w:iCs/>
          <w:sz w:val="24"/>
          <w:vertAlign w:val="superscript"/>
        </w:rPr>
        <w:t xml:space="preserve"> </w:t>
      </w:r>
      <w:r w:rsidRPr="00F078B0">
        <w:rPr>
          <w:rFonts w:ascii="Arial" w:eastAsia="Calibri" w:hAnsi="Arial" w:cs="Arial"/>
          <w:bCs/>
          <w:iCs/>
          <w:sz w:val="24"/>
        </w:rPr>
        <w:t xml:space="preserve">1433/2010 e 2143/2007, ambos do Plenário. </w:t>
      </w:r>
      <w:r w:rsidRPr="00F078B0">
        <w:rPr>
          <w:rFonts w:ascii="Arial" w:eastAsia="Calibri" w:hAnsi="Arial" w:cs="Arial"/>
          <w:b/>
          <w:bCs/>
          <w:i/>
          <w:iCs/>
          <w:sz w:val="24"/>
        </w:rPr>
        <w:t>Acórdão n.º 1793/2011-Plenário, TC-011.643/2010-2, rel. Min. Valmir Campelo, 06.07.2011</w:t>
      </w:r>
      <w:r w:rsidRPr="00F078B0">
        <w:rPr>
          <w:rFonts w:ascii="Arial" w:eastAsia="Calibri" w:hAnsi="Arial" w:cs="Arial"/>
          <w:bCs/>
          <w:iCs/>
          <w:sz w:val="24"/>
        </w:rPr>
        <w:t>.</w:t>
      </w:r>
    </w:p>
    <w:p w:rsidR="00F078B0" w:rsidRPr="00F078B0" w:rsidRDefault="00F078B0" w:rsidP="0068243F">
      <w:pPr>
        <w:spacing w:before="120" w:after="120" w:line="360" w:lineRule="auto"/>
        <w:jc w:val="both"/>
        <w:rPr>
          <w:rFonts w:ascii="Arial" w:eastAsia="Calibri" w:hAnsi="Arial" w:cs="Arial"/>
          <w:b/>
          <w:bCs/>
          <w:iCs/>
          <w:sz w:val="24"/>
        </w:rPr>
      </w:pPr>
    </w:p>
    <w:p w:rsidR="00F078B0" w:rsidRPr="00F078B0" w:rsidRDefault="00F078B0" w:rsidP="0068243F">
      <w:pPr>
        <w:spacing w:before="120" w:after="120" w:line="360" w:lineRule="auto"/>
        <w:jc w:val="both"/>
        <w:rPr>
          <w:rFonts w:ascii="Arial" w:eastAsia="Calibri" w:hAnsi="Arial" w:cs="Arial"/>
          <w:b/>
          <w:bCs/>
          <w:iCs/>
          <w:sz w:val="24"/>
        </w:rPr>
      </w:pPr>
      <w:r w:rsidRPr="00F078B0">
        <w:rPr>
          <w:rFonts w:ascii="Arial" w:eastAsia="Calibri" w:hAnsi="Arial" w:cs="Arial"/>
          <w:b/>
          <w:bCs/>
          <w:iCs/>
          <w:sz w:val="24"/>
        </w:rPr>
        <w:t>Contratações públicas: 2 - No caso de indícios de fraude à licitação, deve a Administração autuar processo administrativo contra as empresas participantes do esquema fraudulento, com o fim de declará-las inidôneas, sendo que a não autuação sem justificativa dos referidos processos poderá ensejar a aplicação de sanções aos servidores omissos</w:t>
      </w: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Cs/>
          <w:iCs/>
          <w:sz w:val="24"/>
        </w:rPr>
        <w:t>Ainda na auditoria realizada pelo Tribunal na Secretaria de Logística e Tecnologia da Informação - (SLTI) do Ministério do Planejamento, Orçamento e Gestão - (MPOG), com o objetivo de verificar a consistência e a confiabilidade dos dados constantes do Sistema Integrado de Administração de Serviços Gerais - (Siasg) e do sistema Comprasnet, a unidade técnica detectou a existência de licitantes reiteradamente desclassificadas por não atenderem a exigências dos editais ou por não honrarem suas propostas comerciais. Na espécie, o que se percebeu foi que, recorrentemente, empresas que participaram de pregões, apresentaram lances mínimos, e, ao serem convocadas pelo pregoeiro incumbido da condução do certame para o encaminhamento de documentação de habilitação ou de planilhas ajustadas aos seus lances, desistiram de forma repentina e injustificada. Consoante a unidade técnica, tal conduta inadequada pode estar causando prejuízos à Administração, pois seria possível que algumas empresas tenham apresentado propostas excessivamente baixas, em prática nominada pelo mercado de ‘coelho’, apenas para que outras empresas que não estejam participando de um eventual conluio desistissem de competir, por verificar que outra licitante teria um preço que não lhes permitiria prosseguir na disputa. Assim, uma empresa que esteja em conluio com o ‘coelho’ ofereceria o segundo melhor lance e, por consequência, acabaria sendo contratada por um valor desvantajoso para a Administração. Para coibir a prática, a unidade técnica sugeriu, e o relator acolheu, que os gestores públicos fossem alertados sobre a necessidade de autuarem processo administrativo contra as empresas participantes da fraude, com o fim de declará-las inidôneas, deixando claro, ainda, que a não autuação sem justificativa dos referidos processos poderá ensejar a aplicação de sanções aos servidores omissos, conforme previsão do art. 82 da Lei 8.666/1993. A proposta foi referendada pelo Plenário. Precedentes citados: Acórdãos n</w:t>
      </w:r>
      <w:r w:rsidRPr="00F078B0">
        <w:rPr>
          <w:rFonts w:ascii="Arial" w:eastAsia="Calibri" w:hAnsi="Arial" w:cs="Arial"/>
          <w:bCs/>
          <w:iCs/>
          <w:sz w:val="24"/>
          <w:u w:val="single"/>
          <w:vertAlign w:val="superscript"/>
        </w:rPr>
        <w:t>os</w:t>
      </w:r>
      <w:r w:rsidRPr="00F078B0">
        <w:rPr>
          <w:rFonts w:ascii="Arial" w:eastAsia="Calibri" w:hAnsi="Arial" w:cs="Arial"/>
          <w:bCs/>
          <w:iCs/>
          <w:sz w:val="24"/>
          <w:vertAlign w:val="superscript"/>
        </w:rPr>
        <w:t xml:space="preserve"> </w:t>
      </w:r>
      <w:r w:rsidRPr="00F078B0">
        <w:rPr>
          <w:rFonts w:ascii="Arial" w:eastAsia="Calibri" w:hAnsi="Arial" w:cs="Arial"/>
          <w:bCs/>
          <w:iCs/>
          <w:sz w:val="24"/>
        </w:rPr>
        <w:t>2143/2007, 785/2008 e 1433/2010, todos do Plenário.</w:t>
      </w:r>
      <w:r w:rsidRPr="00F078B0">
        <w:rPr>
          <w:rFonts w:ascii="Arial" w:eastAsia="Calibri" w:hAnsi="Arial" w:cs="Arial"/>
          <w:bCs/>
          <w:i/>
          <w:iCs/>
          <w:sz w:val="24"/>
        </w:rPr>
        <w:t xml:space="preserve"> </w:t>
      </w:r>
      <w:r w:rsidRPr="00F078B0">
        <w:rPr>
          <w:rFonts w:ascii="Arial" w:eastAsia="Calibri" w:hAnsi="Arial" w:cs="Arial"/>
          <w:b/>
          <w:bCs/>
          <w:i/>
          <w:iCs/>
          <w:sz w:val="24"/>
        </w:rPr>
        <w:t>Acórdão n.º 1793/2011-Plenário, TC-011.643/2010-2, rel. Min. Valmir Campelo, 06.07.2011</w:t>
      </w:r>
      <w:r w:rsidRPr="00F078B0">
        <w:rPr>
          <w:rFonts w:ascii="Arial" w:eastAsia="Calibri" w:hAnsi="Arial" w:cs="Arial"/>
          <w:bCs/>
          <w:iCs/>
          <w:sz w:val="24"/>
        </w:rPr>
        <w:t>.</w:t>
      </w:r>
    </w:p>
    <w:p w:rsidR="00F078B0" w:rsidRPr="00F078B0" w:rsidRDefault="00F078B0" w:rsidP="0068243F">
      <w:pPr>
        <w:spacing w:before="120" w:after="120" w:line="360" w:lineRule="auto"/>
        <w:jc w:val="both"/>
        <w:rPr>
          <w:rFonts w:ascii="Arial" w:eastAsia="Calibri" w:hAnsi="Arial" w:cs="Arial"/>
          <w:b/>
          <w:bCs/>
          <w:iCs/>
          <w:sz w:val="24"/>
        </w:rPr>
      </w:pPr>
    </w:p>
    <w:p w:rsidR="00F078B0" w:rsidRPr="00F078B0" w:rsidRDefault="00F078B0" w:rsidP="0068243F">
      <w:pPr>
        <w:spacing w:before="120" w:after="120" w:line="360" w:lineRule="auto"/>
        <w:jc w:val="both"/>
        <w:rPr>
          <w:rFonts w:ascii="Arial" w:eastAsia="Calibri" w:hAnsi="Arial" w:cs="Arial"/>
          <w:b/>
          <w:bCs/>
          <w:iCs/>
          <w:sz w:val="24"/>
        </w:rPr>
      </w:pPr>
      <w:r w:rsidRPr="00F078B0">
        <w:rPr>
          <w:rFonts w:ascii="Arial" w:eastAsia="Calibri" w:hAnsi="Arial" w:cs="Arial"/>
          <w:b/>
          <w:bCs/>
          <w:iCs/>
          <w:sz w:val="24"/>
        </w:rPr>
        <w:t>Contratações públicas: 3 – Nas licitações para o fim de registro de preços, as instituições que não participaram, inicialmente, do procedimento, os “caronas”, devem atentar para os limites contidos no art. 8º, caput e §3º, do Decreto 3.931/2001</w:t>
      </w: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Cs/>
          <w:iCs/>
          <w:sz w:val="24"/>
        </w:rPr>
        <w:t>Na mesma auditoria realizada pelo Tribunal na Secretaria de Logística e Tecnologia da Informação - (SLTI) do Ministério do Planejamento, Orçamento e Gestão - (MPOG), com o objetivo de verificar a consistência e a confiabilidade dos dados constantes do Sistema Integrado de Administração de Serviços Gerais - (Siasg) e do sistema Comprasnet, a unidade técnica também buscou avaliar se os órgãos que utilizam o Siasg, quando efetuam suas compras mediante o Sistema de Registro de Preços (SRP), obedecem às condições estabelecidas pela legislação pertinente, sobretudo analisando se ocorrera extrapolação do limite estabelecido no § 3º do art. 8º do Decreto 3.931/2001. Conforme descrito pela unidade técnica, “</w:t>
      </w:r>
      <w:r w:rsidRPr="00F078B0">
        <w:rPr>
          <w:rFonts w:ascii="Arial" w:eastAsia="Calibri" w:hAnsi="Arial" w:cs="Arial"/>
          <w:bCs/>
          <w:i/>
          <w:iCs/>
          <w:sz w:val="24"/>
        </w:rPr>
        <w:t>na sistemática de registro de preços, o órgão gerenciador da ata e os demais participantes informam, individualmente, a quantidade do bem ou do serviço a ser adquirida. A soma dessas quantidades é registrada na ata. Por sua vez, o art. 8º, § 3º, do Decreto 3.931/2001 possibilita que os órgãos públicos que inicialmente não participaram do registro de preços (‘caronas’), podem adquirir todo o quantitativo registrado na ata, (...). Ainda assim, o ‘carona’ está restrito a 100% do quantitativo consignado na ata</w:t>
      </w:r>
      <w:r w:rsidRPr="00F078B0">
        <w:rPr>
          <w:rFonts w:ascii="Arial" w:eastAsia="Calibri" w:hAnsi="Arial" w:cs="Arial"/>
          <w:bCs/>
          <w:iCs/>
          <w:sz w:val="24"/>
        </w:rPr>
        <w:t>”. Ainda para a unidade técnica, o mandamento infralegal é importante, pois impede que órgãos não participantes, inicialmente, do registro de preços efetuem contratações em quantitativos exorbitantes, sem o prévio planejamento demandado pelo processo licitatório do registro de preço, sendo que “</w:t>
      </w:r>
      <w:r w:rsidRPr="00F078B0">
        <w:rPr>
          <w:rFonts w:ascii="Arial" w:eastAsia="Calibri" w:hAnsi="Arial" w:cs="Arial"/>
          <w:bCs/>
          <w:i/>
          <w:iCs/>
          <w:sz w:val="24"/>
        </w:rPr>
        <w:t>a não participação desses órgãos durante o processo licitatório causa, em regra, o subdimensionamento das quantidades previstas em ata, reduzindo, assim, uma potencial economia com o ganho de escala</w:t>
      </w:r>
      <w:r w:rsidRPr="00F078B0">
        <w:rPr>
          <w:rFonts w:ascii="Arial" w:eastAsia="Calibri" w:hAnsi="Arial" w:cs="Arial"/>
          <w:bCs/>
          <w:iCs/>
          <w:sz w:val="24"/>
        </w:rPr>
        <w:t>”</w:t>
      </w:r>
      <w:r w:rsidRPr="00F078B0">
        <w:rPr>
          <w:rFonts w:ascii="Arial" w:eastAsia="Calibri" w:hAnsi="Arial" w:cs="Arial"/>
          <w:bCs/>
          <w:i/>
          <w:iCs/>
          <w:sz w:val="24"/>
        </w:rPr>
        <w:t>.</w:t>
      </w:r>
      <w:r w:rsidRPr="00F078B0">
        <w:rPr>
          <w:rFonts w:ascii="Arial" w:eastAsia="Calibri" w:hAnsi="Arial" w:cs="Arial"/>
          <w:bCs/>
          <w:iCs/>
          <w:sz w:val="24"/>
        </w:rPr>
        <w:t xml:space="preserve"> Em oitiva promovida pelo TCU, a SLTI/MPOG informou que o sistema não controla as quantidades a serem adquiridas por ‘caronas’, mas tão só com relação às instituições que participaram originariamente da licitação, para o fim de registro de preço. Nesse contexto, aduziu o órgão que “</w:t>
      </w:r>
      <w:r w:rsidRPr="00F078B0">
        <w:rPr>
          <w:rFonts w:ascii="Arial" w:eastAsia="Calibri" w:hAnsi="Arial" w:cs="Arial"/>
          <w:bCs/>
          <w:i/>
          <w:iCs/>
          <w:sz w:val="24"/>
        </w:rPr>
        <w:t xml:space="preserve">com relação às contratações feitas por participantes extraordinários </w:t>
      </w:r>
      <w:r w:rsidRPr="00F078B0">
        <w:rPr>
          <w:rFonts w:ascii="Arial" w:eastAsia="Calibri" w:hAnsi="Arial" w:cs="Arial"/>
          <w:bCs/>
          <w:iCs/>
          <w:sz w:val="24"/>
        </w:rPr>
        <w:t>[caronas]</w:t>
      </w:r>
      <w:r w:rsidRPr="00F078B0">
        <w:rPr>
          <w:rFonts w:ascii="Arial" w:eastAsia="Calibri" w:hAnsi="Arial" w:cs="Arial"/>
          <w:bCs/>
          <w:i/>
          <w:iCs/>
          <w:sz w:val="24"/>
        </w:rPr>
        <w:t>, informamos que cabe ao gerenciador apenas ser consultado para que indique os possíveis fornecedores e respectivos preços a serem praticados em relação à Ata de Registro de Preços. O órgão ou entidade que, não havendo participado do processo licitatório, desejar utilizar a Ata, deve obedecer os ditames do art. 8º do Decreto 3.931, de 19 de setembro de 2001, em especial, a regra insculpida no § 3º (...)”</w:t>
      </w:r>
      <w:r w:rsidRPr="00F078B0">
        <w:rPr>
          <w:rFonts w:ascii="Arial" w:eastAsia="Calibri" w:hAnsi="Arial" w:cs="Arial"/>
          <w:bCs/>
          <w:iCs/>
          <w:sz w:val="24"/>
        </w:rPr>
        <w:t>, ou seja, haveria possibilidade de o limite contido no § 3º do art. 8º do Decreto 3.931/2001 estar sendo extrapolado, a depender, por exemplo, do número de caronas que aderissem a um registro de preços realizado, o que restou comprovado, a partir dos procedimentos de auditoria aplicados. Todavia, para a unidade técnica, o argumento da SLTI/MPOG de que a responsabilidade pela contratação obedecer ao limite de 100% é do próprio contratante, seria aceitável,</w:t>
      </w:r>
      <w:r w:rsidRPr="00F078B0">
        <w:rPr>
          <w:rFonts w:ascii="Arial" w:eastAsia="Calibri" w:hAnsi="Arial" w:cs="Arial"/>
          <w:bCs/>
          <w:i/>
          <w:iCs/>
          <w:sz w:val="24"/>
        </w:rPr>
        <w:t xml:space="preserve"> “vez que não é plausível que o órgão central do Sisg monitore todas as contratações mediante SRP efetuadas por ‘caronas’</w:t>
      </w:r>
      <w:r w:rsidRPr="00F078B0">
        <w:rPr>
          <w:rFonts w:ascii="Arial" w:eastAsia="Calibri" w:hAnsi="Arial" w:cs="Arial"/>
          <w:bCs/>
          <w:iCs/>
          <w:sz w:val="24"/>
        </w:rPr>
        <w:t>”</w:t>
      </w:r>
      <w:r w:rsidRPr="00F078B0">
        <w:rPr>
          <w:rFonts w:ascii="Arial" w:eastAsia="Calibri" w:hAnsi="Arial" w:cs="Arial"/>
          <w:bCs/>
          <w:i/>
          <w:iCs/>
          <w:sz w:val="24"/>
        </w:rPr>
        <w:t xml:space="preserve">. </w:t>
      </w:r>
      <w:r w:rsidRPr="00F078B0">
        <w:rPr>
          <w:rFonts w:ascii="Arial" w:eastAsia="Calibri" w:hAnsi="Arial" w:cs="Arial"/>
          <w:bCs/>
          <w:iCs/>
          <w:sz w:val="24"/>
        </w:rPr>
        <w:t>No entanto, isso não seria motivo razoável para não serem implementados controles com a finalidade de se evitar a ocorrência dessa irregularidade, tendo em vista que a própria SLTI/MPOG informou que essa crítica já é realizada para as contratações efetivadas pelo órgão gerenciador e pelos demais participantes do registro de preços.Por conseguinte, a unidade apresentou proposta ao relator, que a acatou, de se determinar à SLTI/MPOG, quando se tratar de contratações mediante SRP, que estabeleça meios de evitar tal irregularidade, sem prejuízo de determinar ao órgão, ainda que oriente os gestores dos órgãos integrantes do Sisg a respeitarem os limites previstos no art. 8º, caput e §3º, do Decreto 3.931/2001, o que foi referendado pelo Plenário.</w:t>
      </w:r>
      <w:r w:rsidRPr="00F078B0">
        <w:rPr>
          <w:rFonts w:ascii="Arial" w:eastAsia="Calibri" w:hAnsi="Arial" w:cs="Arial"/>
          <w:bCs/>
          <w:i/>
          <w:iCs/>
          <w:sz w:val="24"/>
        </w:rPr>
        <w:t xml:space="preserve"> </w:t>
      </w:r>
      <w:r w:rsidRPr="00F078B0">
        <w:rPr>
          <w:rFonts w:ascii="Arial" w:eastAsia="Calibri" w:hAnsi="Arial" w:cs="Arial"/>
          <w:b/>
          <w:bCs/>
          <w:i/>
          <w:iCs/>
          <w:sz w:val="24"/>
        </w:rPr>
        <w:t>Acórdão n.º 1793/2011-Plenário, TC-011.643/2010-2, rel. Min. Valmir Campelo, 06.07.2011</w:t>
      </w:r>
      <w:r w:rsidRPr="00F078B0">
        <w:rPr>
          <w:rFonts w:ascii="Arial" w:eastAsia="Calibri" w:hAnsi="Arial" w:cs="Arial"/>
          <w:bCs/>
          <w:iCs/>
          <w:sz w:val="24"/>
        </w:rPr>
        <w:t>.</w:t>
      </w:r>
    </w:p>
    <w:p w:rsidR="00F078B0" w:rsidRPr="00F078B0" w:rsidRDefault="00F078B0" w:rsidP="0068243F">
      <w:pPr>
        <w:spacing w:before="120" w:after="120" w:line="360" w:lineRule="auto"/>
        <w:jc w:val="both"/>
        <w:rPr>
          <w:rFonts w:ascii="Arial" w:eastAsia="Calibri" w:hAnsi="Arial" w:cs="Arial"/>
          <w:b/>
          <w:bCs/>
          <w:iCs/>
          <w:sz w:val="24"/>
        </w:rPr>
      </w:pPr>
    </w:p>
    <w:p w:rsidR="00F078B0" w:rsidRPr="00F078B0" w:rsidRDefault="00F078B0" w:rsidP="0068243F">
      <w:pPr>
        <w:spacing w:before="120" w:after="120" w:line="360" w:lineRule="auto"/>
        <w:jc w:val="both"/>
        <w:rPr>
          <w:rFonts w:ascii="Arial" w:eastAsia="Calibri" w:hAnsi="Arial" w:cs="Arial"/>
          <w:b/>
          <w:bCs/>
          <w:iCs/>
          <w:sz w:val="24"/>
        </w:rPr>
      </w:pPr>
      <w:r w:rsidRPr="00F078B0">
        <w:rPr>
          <w:rFonts w:ascii="Arial" w:eastAsia="Calibri" w:hAnsi="Arial" w:cs="Arial"/>
          <w:b/>
          <w:bCs/>
          <w:iCs/>
          <w:sz w:val="24"/>
        </w:rPr>
        <w:t>Contratações públicas: 4 – É vedada a adesão a ata de registros de preços quando esta se encontra com validade expirada</w:t>
      </w: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Cs/>
          <w:iCs/>
          <w:sz w:val="24"/>
        </w:rPr>
        <w:t>Ainda por conta da auditoria realizada pelo Tribunal na Secretaria de Logística e Tecnologia da Informação - (SLTI) do Ministério do Planejamento, Orçamento e Gestão - (MPOG), com o objetivo de verificar a consistência e a confiabilidade dos dados constantes do Sistema Integrado de Administração de Serviços Gerais - (Siasg) e do sistema Comprasnet, a unidade técnica verificou que em diversas oportunidades contratos administrativos, resultantes de registro de preços, foram celebrados, mesmo com a ata do procedimento já tendo perdido sua validade. Em vista do fato, a unidade instrutiva entendeu que “</w:t>
      </w:r>
      <w:r w:rsidRPr="00F078B0">
        <w:rPr>
          <w:rFonts w:ascii="Arial" w:eastAsia="Calibri" w:hAnsi="Arial" w:cs="Arial"/>
          <w:bCs/>
          <w:i/>
          <w:iCs/>
          <w:sz w:val="24"/>
        </w:rPr>
        <w:t>não é razoável que sejam feitas adesões a atas de registro de preços após o fim de sua vigência, vez que os preços registrados por meio de licitação específica podem não mais estar compatíveis com aqueles oferecidos no mercado”</w:t>
      </w:r>
      <w:r w:rsidRPr="00F078B0">
        <w:rPr>
          <w:rFonts w:ascii="Arial" w:eastAsia="Calibri" w:hAnsi="Arial" w:cs="Arial"/>
          <w:bCs/>
          <w:iCs/>
          <w:sz w:val="24"/>
        </w:rPr>
        <w:t>. Ainda que o órgão contratante justifique os preços registrados em ata após o fim de sua vigência, isso, conforme a unidade técnica, “</w:t>
      </w:r>
      <w:r w:rsidRPr="00F078B0">
        <w:rPr>
          <w:rFonts w:ascii="Arial" w:eastAsia="Calibri" w:hAnsi="Arial" w:cs="Arial"/>
          <w:bCs/>
          <w:i/>
          <w:iCs/>
          <w:sz w:val="24"/>
        </w:rPr>
        <w:t>não significa que a contratação continuará sendo vantajosa, pois é possível que a realização de nova licitação permita a obtenção de melhores preços para a Administração do que aqueles anteriormente registrados</w:t>
      </w:r>
      <w:r w:rsidRPr="00F078B0">
        <w:rPr>
          <w:rFonts w:ascii="Arial" w:eastAsia="Calibri" w:hAnsi="Arial" w:cs="Arial"/>
          <w:bCs/>
          <w:iCs/>
          <w:sz w:val="24"/>
        </w:rPr>
        <w:t>”</w:t>
      </w:r>
      <w:r w:rsidRPr="00F078B0">
        <w:rPr>
          <w:rFonts w:ascii="Arial" w:eastAsia="Calibri" w:hAnsi="Arial" w:cs="Arial"/>
          <w:bCs/>
          <w:i/>
          <w:iCs/>
          <w:sz w:val="24"/>
        </w:rPr>
        <w:t xml:space="preserve">. </w:t>
      </w:r>
      <w:r w:rsidRPr="00F078B0">
        <w:rPr>
          <w:rFonts w:ascii="Arial" w:eastAsia="Calibri" w:hAnsi="Arial" w:cs="Arial"/>
          <w:bCs/>
          <w:iCs/>
          <w:sz w:val="24"/>
        </w:rPr>
        <w:t>Nesse quadro, com a anuência do relator, propôs que o TCU determinasse à SLTI/MPOG que orientasse aos gestores dos órgãos integrantes do Sisg, quando atuarem como gerenciadores de atas de registro de preço, a não aceitarem a adesão após o fim da vigência das atas, sem prejuízo de ser determinado à instituição que</w:t>
      </w:r>
      <w:r w:rsidRPr="00F078B0">
        <w:rPr>
          <w:rFonts w:ascii="Arial" w:eastAsia="Calibri" w:hAnsi="Arial" w:cs="Arial"/>
          <w:bCs/>
          <w:i/>
          <w:iCs/>
          <w:sz w:val="24"/>
        </w:rPr>
        <w:t xml:space="preserve"> </w:t>
      </w:r>
      <w:r w:rsidRPr="00F078B0">
        <w:rPr>
          <w:rFonts w:ascii="Arial" w:eastAsia="Calibri" w:hAnsi="Arial" w:cs="Arial"/>
          <w:bCs/>
          <w:iCs/>
          <w:sz w:val="24"/>
        </w:rPr>
        <w:t>implantasse controles no sistema Siasg, de modo a não permitir a aquisição de bens e serviços oriundos de adesão a registro de preço após o fim da vigência da respectiva ata, o que foi aprovado pelo Plenário.</w:t>
      </w:r>
      <w:r w:rsidRPr="00F078B0">
        <w:rPr>
          <w:rFonts w:ascii="Arial" w:eastAsia="Calibri" w:hAnsi="Arial" w:cs="Arial"/>
          <w:bCs/>
          <w:i/>
          <w:iCs/>
          <w:sz w:val="24"/>
        </w:rPr>
        <w:t xml:space="preserve"> </w:t>
      </w:r>
      <w:r w:rsidRPr="00F078B0">
        <w:rPr>
          <w:rFonts w:ascii="Arial" w:eastAsia="Calibri" w:hAnsi="Arial" w:cs="Arial"/>
          <w:b/>
          <w:bCs/>
          <w:i/>
          <w:iCs/>
          <w:sz w:val="24"/>
        </w:rPr>
        <w:t>Acórdão n.º 1793/2011-Plenário, TC-011.643/2010-2, rel. Min. Valmir Campelo, 06.07.2011</w:t>
      </w:r>
      <w:r w:rsidRPr="00F078B0">
        <w:rPr>
          <w:rFonts w:ascii="Arial" w:eastAsia="Calibri" w:hAnsi="Arial" w:cs="Arial"/>
          <w:bCs/>
          <w:iCs/>
          <w:sz w:val="24"/>
        </w:rPr>
        <w:t>.</w:t>
      </w:r>
    </w:p>
    <w:p w:rsidR="00F078B0" w:rsidRPr="00F078B0" w:rsidRDefault="00F078B0" w:rsidP="0068243F">
      <w:pPr>
        <w:spacing w:before="120" w:after="120" w:line="360" w:lineRule="auto"/>
        <w:jc w:val="both"/>
        <w:rPr>
          <w:rFonts w:ascii="Arial" w:eastAsia="Calibri" w:hAnsi="Arial" w:cs="Arial"/>
          <w:b/>
          <w:bCs/>
          <w:iCs/>
          <w:sz w:val="24"/>
        </w:rPr>
      </w:pP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
          <w:bCs/>
          <w:iCs/>
          <w:sz w:val="24"/>
        </w:rPr>
        <w:t>Contratações públicas: 5 - É vedada a adesão de órgão ou entidade federal a ata de registro de preços promovida por órgão ou entidade estadual ou municipal</w:t>
      </w:r>
      <w:r w:rsidRPr="00F078B0">
        <w:rPr>
          <w:rFonts w:ascii="Arial" w:eastAsia="Calibri" w:hAnsi="Arial" w:cs="Arial"/>
          <w:bCs/>
          <w:iCs/>
          <w:sz w:val="24"/>
        </w:rPr>
        <w:t xml:space="preserve"> </w:t>
      </w: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Cs/>
          <w:iCs/>
          <w:sz w:val="24"/>
        </w:rPr>
        <w:t>Na mesma auditoria realizada pelo Tribunal na Secretaria de Logística e Tecnologia da Informação - (SLTI) do Ministério do Planejamento, Orçamento e Gestão - (MPOG), com o objetivo de verificar a consistência e a confiabilidade dos dados constantes do Sistema Integrado de Administração de Serviços Gerais - (Siasg) e do sistema Comprasnet, a unidade instrutiva registrou a adesão por instituição federal a atas de registros de preços decorrentes de licitações feitas por instituições de outras esferas federativas. Nesse quadro, após citar divergências doutrinárias a respeito da questão, a unidade técnica consignou existência da orientação normativa 21, da Advocacia Geral da União - (AGU),</w:t>
      </w:r>
      <w:r w:rsidRPr="00F078B0">
        <w:rPr>
          <w:rFonts w:ascii="Arial" w:eastAsia="Calibri" w:hAnsi="Arial" w:cs="Arial"/>
          <w:bCs/>
          <w:i/>
          <w:iCs/>
          <w:sz w:val="24"/>
        </w:rPr>
        <w:t xml:space="preserve"> </w:t>
      </w:r>
      <w:r w:rsidRPr="00F078B0">
        <w:rPr>
          <w:rFonts w:ascii="Arial" w:eastAsia="Calibri" w:hAnsi="Arial" w:cs="Arial"/>
          <w:bCs/>
          <w:iCs/>
          <w:sz w:val="24"/>
        </w:rPr>
        <w:t>na qual se posiciona pela impossibilidade da prática, com o que concordou a unidade técnica, que mencionou, ainda, não haver previsão legal nesse sentidoRegistrou-se, ainda, que, em razão de expressa disposição legal (art. 2º da Lei 10.191/2001), seria possível a estados e municípios aderirem a atas de registro de preços oriundas de licitações promovidas pelo Ministério da Saúde, quando este fosse o responsável pela aquisição, o que não seria o caso, nas situações examinadas. Ademais, ainda conforme a unidade instrutiva, “</w:t>
      </w:r>
      <w:r w:rsidRPr="00F078B0">
        <w:rPr>
          <w:rFonts w:ascii="Arial" w:eastAsia="Calibri" w:hAnsi="Arial" w:cs="Arial"/>
          <w:bCs/>
          <w:i/>
          <w:iCs/>
          <w:sz w:val="24"/>
        </w:rPr>
        <w:t>a adesão à ata de registro de preço oriunda de órgão estadual, municipal ou distrital pode não atender aos requisitos que o gestor federal obrigatoriamente deveria seguir caso ele optasse por efetuar a compra mediante licitação, sem adesão à referida ata</w:t>
      </w:r>
      <w:r w:rsidRPr="00F078B0">
        <w:rPr>
          <w:rFonts w:ascii="Arial" w:eastAsia="Calibri" w:hAnsi="Arial" w:cs="Arial"/>
          <w:bCs/>
          <w:iCs/>
          <w:sz w:val="24"/>
        </w:rPr>
        <w:t>”</w:t>
      </w:r>
      <w:r w:rsidRPr="00F078B0">
        <w:rPr>
          <w:rFonts w:ascii="Arial" w:eastAsia="Calibri" w:hAnsi="Arial" w:cs="Arial"/>
          <w:bCs/>
          <w:i/>
          <w:iCs/>
          <w:sz w:val="24"/>
        </w:rPr>
        <w:t xml:space="preserve">. </w:t>
      </w:r>
      <w:r w:rsidRPr="00F078B0">
        <w:rPr>
          <w:rFonts w:ascii="Arial" w:eastAsia="Calibri" w:hAnsi="Arial" w:cs="Arial"/>
          <w:bCs/>
          <w:iCs/>
          <w:sz w:val="24"/>
        </w:rPr>
        <w:t>Seria, em outros termos, um contorno indevido à publicidade, já que em suas compras as instituições federais têm deveres de publicidade mais amplos do que instituições estaduais e municipais. Em conseqüência, por considerar oportuno, propôs a unidade técnica, com anuência do relator, que o Tribunal determinasse à SLTI/MPOG que orientasse os órgãos integrantes do Sisg acerca da impossibilidade de adesão a atas de registro de preços provenientes de licitações de administração estadual, municipal ou distrital, por falta de amparo legal, o que foi aprovado pelo Plenário.</w:t>
      </w:r>
      <w:r w:rsidRPr="00F078B0">
        <w:rPr>
          <w:rFonts w:ascii="Arial" w:eastAsia="Calibri" w:hAnsi="Arial" w:cs="Arial"/>
          <w:bCs/>
          <w:i/>
          <w:iCs/>
          <w:sz w:val="24"/>
        </w:rPr>
        <w:t xml:space="preserve"> </w:t>
      </w:r>
      <w:r w:rsidRPr="00F078B0">
        <w:rPr>
          <w:rFonts w:ascii="Arial" w:eastAsia="Calibri" w:hAnsi="Arial" w:cs="Arial"/>
          <w:b/>
          <w:bCs/>
          <w:i/>
          <w:iCs/>
          <w:sz w:val="24"/>
        </w:rPr>
        <w:t>Acórdão n.º 1793/2011-Plenário, TC-011.643/2010-2, rel. Min. Valmir Campelo, 06.07.2011</w:t>
      </w:r>
      <w:r w:rsidRPr="00F078B0">
        <w:rPr>
          <w:rFonts w:ascii="Arial" w:eastAsia="Calibri" w:hAnsi="Arial" w:cs="Arial"/>
          <w:bCs/>
          <w:iCs/>
          <w:sz w:val="24"/>
        </w:rPr>
        <w:t>.</w:t>
      </w:r>
    </w:p>
    <w:p w:rsidR="00F078B0" w:rsidRPr="00F078B0" w:rsidRDefault="00F078B0" w:rsidP="0068243F">
      <w:pPr>
        <w:spacing w:before="120" w:after="120" w:line="360" w:lineRule="auto"/>
        <w:jc w:val="both"/>
        <w:rPr>
          <w:rFonts w:ascii="Arial" w:eastAsia="Calibri" w:hAnsi="Arial" w:cs="Arial"/>
          <w:b/>
          <w:bCs/>
          <w:iCs/>
          <w:sz w:val="24"/>
        </w:rPr>
      </w:pPr>
    </w:p>
    <w:p w:rsidR="00F078B0" w:rsidRPr="00F078B0" w:rsidRDefault="00F078B0" w:rsidP="0068243F">
      <w:pPr>
        <w:spacing w:before="120" w:after="120" w:line="360" w:lineRule="auto"/>
        <w:jc w:val="both"/>
        <w:rPr>
          <w:rFonts w:ascii="Arial" w:eastAsia="Calibri" w:hAnsi="Arial" w:cs="Arial"/>
          <w:b/>
          <w:bCs/>
          <w:iCs/>
          <w:sz w:val="24"/>
        </w:rPr>
      </w:pPr>
      <w:r w:rsidRPr="00F078B0">
        <w:rPr>
          <w:rFonts w:ascii="Arial" w:eastAsia="Calibri" w:hAnsi="Arial" w:cs="Arial"/>
          <w:b/>
          <w:bCs/>
          <w:iCs/>
          <w:sz w:val="24"/>
        </w:rPr>
        <w:t>Contratações públicas: 6 – Normas constitucionais expressas (alínea ‘a’ do inc. I e alínea ‘a’ do inc. II do art. 54 da Constituição Federal) impedem que Deputados e Senadores, de modo geral, mantenham relações contratuais com entidades da Administração Pública</w:t>
      </w: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Cs/>
          <w:iCs/>
          <w:sz w:val="24"/>
        </w:rPr>
        <w:t>No intuito de aferir o cumprimento de disposições constitucionais expressas (alínea ‘a’ do inc. I e alínea ‘a’ do inc. II do art. 54 da Constituição Federal), a unidade técnica, na auditoria realizada pelo Tribunal na Secretaria de Logística e Tecnologia da Informação - (SLTI) do Ministério do Planejamento, Orçamento e Gestão - (MPOG), com o objetivo de verificar a consistência e a confiabilidade dos dados constantes do Sistema Integrado de Administração de Serviços Gerais - (Siasg) e do sistema Comprasnet, executou procedimento para identificar parlamentares, em exercício, que possuíssem significativo vínculo societário (donos de pelo menos 50% das cotas) com empresas contratadas pela Administração Pública Federal, tomando em consideração apenas os parlamentares em exercício, no que identificou infrações à Carta Magna. Nesse contexto, ressaltou que em uma situação um desses parlamentares assinou pessoalmente os termos contratuais durante o exercício do mandato, reforçando a conclusão de ofensa a dispositivos constitucionais.</w:t>
      </w:r>
      <w:r w:rsidRPr="00F078B0">
        <w:rPr>
          <w:rFonts w:ascii="Arial" w:eastAsia="Calibri" w:hAnsi="Arial" w:cs="Arial"/>
          <w:bCs/>
          <w:i/>
          <w:iCs/>
          <w:sz w:val="24"/>
        </w:rPr>
        <w:t xml:space="preserve"> </w:t>
      </w:r>
      <w:r w:rsidRPr="00F078B0">
        <w:rPr>
          <w:rFonts w:ascii="Arial" w:eastAsia="Calibri" w:hAnsi="Arial" w:cs="Arial"/>
          <w:bCs/>
          <w:iCs/>
          <w:sz w:val="24"/>
        </w:rPr>
        <w:t>Houve por bem a unidade técnica apresentar proposta de que fosse encaminhada, para as providências cabíveis, ao Ministério Público Eleitoral e à Comissão de Ética da Câmara dos Deputados a relação de deputados federais sócios cotistas de empresas que firmaram, mantiveram ou executaram contratos junto à Administração Pública Federal e exerciam mandatos parlamentares em agosto de 2010 descumprindo as alíneas “a” dos incisos I e II do art. 54 da Constituição Federal de 1988, sem prejuízo de propor também que o TCU expedisse recomendação aos Tribunais Eleitorais, bem como à Câmara e ao Senado, que aperfeiçoem seus procedimentos para verificação do cumprimento dos citados artigos constitucionais, o que foi acatado pelo relator e referendado pelo Plenário. Precedente citado: Acórdão nº 610/2003, do Plenário.</w:t>
      </w:r>
      <w:r w:rsidRPr="00F078B0">
        <w:rPr>
          <w:rFonts w:ascii="Arial" w:eastAsia="Calibri" w:hAnsi="Arial" w:cs="Arial"/>
          <w:bCs/>
          <w:i/>
          <w:iCs/>
          <w:sz w:val="24"/>
        </w:rPr>
        <w:t xml:space="preserve"> </w:t>
      </w:r>
      <w:r w:rsidRPr="00F078B0">
        <w:rPr>
          <w:rFonts w:ascii="Arial" w:eastAsia="Calibri" w:hAnsi="Arial" w:cs="Arial"/>
          <w:b/>
          <w:bCs/>
          <w:i/>
          <w:iCs/>
          <w:sz w:val="24"/>
        </w:rPr>
        <w:t>Acórdão n.º 1793/2011-Plenário, TC-011.643/2010-2, rel. Min. Valmir Campelo, 06.07.2011</w:t>
      </w:r>
      <w:r w:rsidRPr="00F078B0">
        <w:rPr>
          <w:rFonts w:ascii="Arial" w:eastAsia="Calibri" w:hAnsi="Arial" w:cs="Arial"/>
          <w:bCs/>
          <w:iCs/>
          <w:sz w:val="24"/>
        </w:rPr>
        <w:t>.</w:t>
      </w:r>
    </w:p>
    <w:p w:rsidR="00F078B0" w:rsidRPr="00F078B0" w:rsidRDefault="00F078B0" w:rsidP="0068243F">
      <w:pPr>
        <w:spacing w:before="120" w:after="120" w:line="360" w:lineRule="auto"/>
        <w:jc w:val="both"/>
        <w:rPr>
          <w:rFonts w:ascii="Arial" w:eastAsia="Calibri" w:hAnsi="Arial" w:cs="Arial"/>
          <w:b/>
          <w:bCs/>
          <w:iCs/>
          <w:sz w:val="24"/>
        </w:rPr>
      </w:pPr>
    </w:p>
    <w:p w:rsidR="00F078B0" w:rsidRPr="00F078B0" w:rsidRDefault="00F078B0" w:rsidP="0068243F">
      <w:pPr>
        <w:spacing w:before="120" w:after="120" w:line="360" w:lineRule="auto"/>
        <w:jc w:val="both"/>
        <w:rPr>
          <w:rFonts w:ascii="Arial" w:eastAsia="Calibri" w:hAnsi="Arial" w:cs="Arial"/>
          <w:b/>
          <w:bCs/>
          <w:iCs/>
          <w:sz w:val="24"/>
        </w:rPr>
      </w:pPr>
      <w:r w:rsidRPr="00F078B0">
        <w:rPr>
          <w:rFonts w:ascii="Arial" w:eastAsia="Calibri" w:hAnsi="Arial" w:cs="Arial"/>
          <w:b/>
          <w:bCs/>
          <w:iCs/>
          <w:sz w:val="24"/>
        </w:rPr>
        <w:t>Contratações públicas: 7 – Para o fim de exame quanto à eventual declaração de inidoneidade anteriormente aplicada a empresa participante de licitação, cabe à Administração Pública, em complemento à consulta dos registros constantes do Sicaf, consultar o Cadastro Nacional de Empresas Inidôneas e Suspensas - (Ceis)</w:t>
      </w: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Cs/>
          <w:iCs/>
          <w:sz w:val="24"/>
        </w:rPr>
        <w:t>Também na auditoria realizada pelo Tribunal na Secretaria de Logística e Tecnologia da Informação - (SLTI) do Ministério do Planejamento, Orçamento e Gestão - (MPOG), com o objetivo de verificar a consistência e a confiabilidade dos dados constantes do Sistema Integrado de Administração de Serviços Gerais - (Siasg) e do sistema Comprasnet, a unidade responsável pelo processo consignou casos em que empresas declaradas inidôneas foram contratadas por instituições públicas federais. Para chegar a essa conclusão, a unidade técnica se valeu de consulta formulada ao Cadastro Nacional de Empresas Inidôneas e Suspensas - (Ceis), no qual a Controladoria Geral da União - (CGU) registra, por conta de convênios com estados e municípios, suspensões e declarações de inidoneidade oriundas das três esferas da federação. A opção de se utilizar o Ceis para aplicação do procedimento deveu-se, de acordo com a unidade técnica, pelas deficiências do atual cadastro de ocorrências do Sicaf, uma vez que este último sistema não é compulsoriamente alimentado pelas instituições das demais esferas federativas, e mesmo por algumas entidades federais, desobrigadas de usar o Sicaf. Por conta disso, a unidade técnica, com a concordância do relator, encaminhou proposta de determinação à SLTI/MPOG para que orientasse os gestores dos órgãos integrantes do Sisg acerca da importância de se consultar o Ceis em complementação à consulta do Sicaf, o que foi aprovado pelo Plenário. Precedente citado: Acórdão nº 1647/2010, do Plenário.</w:t>
      </w:r>
      <w:r w:rsidRPr="00F078B0">
        <w:rPr>
          <w:rFonts w:ascii="Arial" w:eastAsia="Calibri" w:hAnsi="Arial" w:cs="Arial"/>
          <w:bCs/>
          <w:i/>
          <w:iCs/>
          <w:sz w:val="24"/>
        </w:rPr>
        <w:t xml:space="preserve"> </w:t>
      </w:r>
      <w:r w:rsidRPr="00F078B0">
        <w:rPr>
          <w:rFonts w:ascii="Arial" w:eastAsia="Calibri" w:hAnsi="Arial" w:cs="Arial"/>
          <w:b/>
          <w:bCs/>
          <w:i/>
          <w:iCs/>
          <w:sz w:val="24"/>
        </w:rPr>
        <w:t>Acórdão n.º 1793/2011-Plenário, TC-011.643/2010-2, rel. Min. Valmir Campelo, 06.07.2011</w:t>
      </w:r>
      <w:r w:rsidRPr="00F078B0">
        <w:rPr>
          <w:rFonts w:ascii="Arial" w:eastAsia="Calibri" w:hAnsi="Arial" w:cs="Arial"/>
          <w:bCs/>
          <w:iCs/>
          <w:sz w:val="24"/>
        </w:rPr>
        <w:t>.</w:t>
      </w:r>
    </w:p>
    <w:p w:rsidR="00F078B0" w:rsidRPr="00F078B0" w:rsidRDefault="00F078B0" w:rsidP="0068243F">
      <w:pPr>
        <w:spacing w:before="120" w:after="120" w:line="360" w:lineRule="auto"/>
        <w:jc w:val="both"/>
        <w:rPr>
          <w:rFonts w:ascii="Arial" w:eastAsia="Calibri" w:hAnsi="Arial" w:cs="Arial"/>
          <w:b/>
          <w:bCs/>
          <w:iCs/>
          <w:sz w:val="24"/>
        </w:rPr>
      </w:pPr>
    </w:p>
    <w:p w:rsidR="00F078B0" w:rsidRPr="00F078B0" w:rsidRDefault="00F078B0" w:rsidP="0068243F">
      <w:pPr>
        <w:spacing w:before="120" w:after="120" w:line="360" w:lineRule="auto"/>
        <w:jc w:val="both"/>
        <w:rPr>
          <w:rFonts w:ascii="Arial" w:eastAsia="Calibri" w:hAnsi="Arial" w:cs="Arial"/>
          <w:b/>
          <w:bCs/>
          <w:iCs/>
          <w:sz w:val="24"/>
        </w:rPr>
      </w:pPr>
      <w:r w:rsidRPr="00F078B0">
        <w:rPr>
          <w:rFonts w:ascii="Arial" w:eastAsia="Calibri" w:hAnsi="Arial" w:cs="Arial"/>
          <w:b/>
          <w:bCs/>
          <w:iCs/>
          <w:sz w:val="24"/>
        </w:rPr>
        <w:t>Contratações públicas: 8 - Aditivos contratuais firmados em prazo exíguo constituem indício de falta de planejamento</w:t>
      </w: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Cs/>
          <w:iCs/>
          <w:sz w:val="24"/>
        </w:rPr>
        <w:t>A auditoria realizada pelo Tribunal na Secretaria de Logística e Tecnologia da Informação - (SLTI) do Ministério do Planejamento, Orçamento e Gestão - (MPOG), com o objetivo de verificar a consistência e a confiabilidade dos dados constantes do Sistema Integrado de Administração de Serviços Gerais - (Siasg) e do sistema Comprasnet, também analisou os aditivos contratuais realizados nos primeiros 180 dias seguidos à contratação, no que identificou mais de seiscentos casos nessa condição. Para a unidade técnica, “</w:t>
      </w:r>
      <w:r w:rsidRPr="00F078B0">
        <w:rPr>
          <w:rFonts w:ascii="Arial" w:eastAsia="Calibri" w:hAnsi="Arial" w:cs="Arial"/>
          <w:bCs/>
          <w:i/>
          <w:iCs/>
          <w:sz w:val="24"/>
        </w:rPr>
        <w:t>a prerrogativa de acréscimo contratual, com fulcro no art. 65, § 1º, da Lei 8.666/1993, não deve ser utilizada de forma a negligenciar o planejamento da contratação, o qual, segundo a mesma Lei e a jurisprudência do TCU, é condição necessária para o início do processo licitatório”</w:t>
      </w:r>
      <w:r w:rsidRPr="00F078B0">
        <w:rPr>
          <w:rFonts w:ascii="Arial" w:eastAsia="Calibri" w:hAnsi="Arial" w:cs="Arial"/>
          <w:bCs/>
          <w:iCs/>
          <w:sz w:val="24"/>
        </w:rPr>
        <w:t xml:space="preserve">. O resultado observado demonstrou, ainda de acordo com a unidade instrutiva, </w:t>
      </w:r>
      <w:r w:rsidRPr="00F078B0">
        <w:rPr>
          <w:rFonts w:ascii="Arial" w:eastAsia="Calibri" w:hAnsi="Arial" w:cs="Arial"/>
          <w:bCs/>
          <w:i/>
          <w:iCs/>
          <w:sz w:val="24"/>
        </w:rPr>
        <w:t>“que há indício de deficiência no planejamento das contratações da Administração Pública Federal, podendo causar prejuízos à economicidade da licitação, bem como à isonomia entre os licitantes</w:t>
      </w:r>
      <w:r w:rsidRPr="00F078B0">
        <w:rPr>
          <w:rFonts w:ascii="Arial" w:eastAsia="Calibri" w:hAnsi="Arial" w:cs="Arial"/>
          <w:bCs/>
          <w:iCs/>
          <w:sz w:val="24"/>
        </w:rPr>
        <w:t>”. Assim, propôs que o Tribunal expedisse determinação à SLTI/MPOG para que orientasse</w:t>
      </w:r>
      <w:r w:rsidRPr="00F078B0">
        <w:rPr>
          <w:rFonts w:ascii="Arial" w:eastAsia="Calibri" w:hAnsi="Arial" w:cs="Arial"/>
          <w:bCs/>
          <w:i/>
          <w:iCs/>
          <w:sz w:val="24"/>
        </w:rPr>
        <w:t xml:space="preserve"> </w:t>
      </w:r>
      <w:r w:rsidRPr="00F078B0">
        <w:rPr>
          <w:rFonts w:ascii="Arial" w:eastAsia="Calibri" w:hAnsi="Arial" w:cs="Arial"/>
          <w:bCs/>
          <w:iCs/>
          <w:sz w:val="24"/>
        </w:rPr>
        <w:t>os órgãos integrantes do Sisg a executarem adequadamente o processo de planejamento de suas contratações a fim de bem estimarem os quantitativos de bens e serviços a serem contratados, evitando a necessidade de firmar aditivos com acréscimo de valor em prazo exíguo, no que contou com a anuência do relator e do Plenário. Precedentes citados: Acórdão n</w:t>
      </w:r>
      <w:r w:rsidRPr="00F078B0">
        <w:rPr>
          <w:rFonts w:ascii="Arial" w:eastAsia="Calibri" w:hAnsi="Arial" w:cs="Arial"/>
          <w:bCs/>
          <w:iCs/>
          <w:sz w:val="24"/>
          <w:u w:val="single"/>
          <w:vertAlign w:val="superscript"/>
        </w:rPr>
        <w:t>os</w:t>
      </w:r>
      <w:r w:rsidRPr="00F078B0">
        <w:rPr>
          <w:rFonts w:ascii="Arial" w:eastAsia="Calibri" w:hAnsi="Arial" w:cs="Arial"/>
          <w:bCs/>
          <w:iCs/>
          <w:sz w:val="24"/>
        </w:rPr>
        <w:t xml:space="preserve"> 838/2004, 2094/2004, 117/2006, 304/2006 e 2640/2007, todos do Plenário.</w:t>
      </w:r>
      <w:r w:rsidRPr="00F078B0">
        <w:rPr>
          <w:rFonts w:ascii="Arial" w:eastAsia="Calibri" w:hAnsi="Arial" w:cs="Arial"/>
          <w:bCs/>
          <w:i/>
          <w:iCs/>
          <w:sz w:val="24"/>
        </w:rPr>
        <w:t xml:space="preserve"> </w:t>
      </w:r>
      <w:r w:rsidRPr="00F078B0">
        <w:rPr>
          <w:rFonts w:ascii="Arial" w:eastAsia="Calibri" w:hAnsi="Arial" w:cs="Arial"/>
          <w:b/>
          <w:bCs/>
          <w:i/>
          <w:iCs/>
          <w:sz w:val="24"/>
        </w:rPr>
        <w:t>Acórdão n.º 1793/2011-Plenário, TC-011.643/2010-2, rel. Min. Valmir Campelo, 06.07.2011</w:t>
      </w:r>
      <w:r w:rsidRPr="00F078B0">
        <w:rPr>
          <w:rFonts w:ascii="Arial" w:eastAsia="Calibri" w:hAnsi="Arial" w:cs="Arial"/>
          <w:bCs/>
          <w:iCs/>
          <w:sz w:val="24"/>
        </w:rPr>
        <w:t>.</w:t>
      </w:r>
    </w:p>
    <w:p w:rsidR="00F078B0" w:rsidRPr="00F078B0" w:rsidRDefault="00F078B0" w:rsidP="0068243F">
      <w:pPr>
        <w:spacing w:before="120" w:after="120" w:line="360" w:lineRule="auto"/>
        <w:jc w:val="both"/>
        <w:rPr>
          <w:rFonts w:ascii="Arial" w:eastAsia="Calibri" w:hAnsi="Arial" w:cs="Arial"/>
          <w:b/>
          <w:bCs/>
          <w:iCs/>
          <w:sz w:val="24"/>
        </w:rPr>
      </w:pPr>
    </w:p>
    <w:p w:rsidR="00F078B0" w:rsidRPr="00F078B0" w:rsidRDefault="00F078B0" w:rsidP="0068243F">
      <w:pPr>
        <w:spacing w:before="120" w:after="120" w:line="360" w:lineRule="auto"/>
        <w:jc w:val="both"/>
        <w:rPr>
          <w:rFonts w:ascii="Arial" w:eastAsia="Calibri" w:hAnsi="Arial" w:cs="Arial"/>
          <w:b/>
          <w:bCs/>
          <w:iCs/>
          <w:sz w:val="24"/>
        </w:rPr>
      </w:pPr>
      <w:r w:rsidRPr="00F078B0">
        <w:rPr>
          <w:rFonts w:ascii="Arial" w:eastAsia="Calibri" w:hAnsi="Arial" w:cs="Arial"/>
          <w:b/>
          <w:bCs/>
          <w:iCs/>
          <w:sz w:val="24"/>
        </w:rPr>
        <w:t>Contratações públicas: 9 - Quando da habilitação de microempresa e de empresa de pequeno porte que tenha utilizado a prerrogativa de efetuar lance de desempate, deve ser verificado se o somatório dos valores das ordens bancárias recebidas pela empresa extrapola o faturamento máximo permitido como condição para esse benefício</w:t>
      </w: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Cs/>
          <w:iCs/>
          <w:sz w:val="24"/>
        </w:rPr>
        <w:t>Noutro procedimento levado a efeito na auditoria realizada pelo Tribunal na Secretaria de Logística e Tecnologia da Informação - (SLTI) do Ministério do Planejamento, Orçamento e Gestão - (MPOG), com o objetivo de verificar a consistência e a confiabilidade dos dados constantes do Sistema Integrado de Administração de Serviços Gerais - (Siasg) e do sistema Comprasnet, a unidade técnica buscou verificar ocorrências de microempresas (ME) e empresas de pequeno porte (EPP) que utilizaram o benefício previsto no § 2º do art. 44 da Lei Complementar 123/2006 (lance de desempate), mas foram beneficiárias de ordens bancárias em somatório superior ao limite estabelecido pelo art. 3º, inciso II, da mesma LC, no ano anterior (ordens bancárias provenientes do sistema Siafi em montante superior a R$ 2,4 milhões). Os resultados indicaram casos em que, por exemplo, empresas que faturaram mais de 10 milhões reais em 2008 continuaram a usufruir, indevidamente, do benefício da LC 123/2006. Por conseguinte, a unidade instrutiva propôs que o Tribunal determinasse à SLTI/MP a inserção no Comprasnet de controle capaz de identificar, por meio de consultas ao Siafi, empresas em situação fiscal incompatível com o seu real faturamento e que tentem utilizar o benefício previsto no art. 44, § 2º, da LC 123/2006, de forma a impossibilitar a emissão de seu lance de desempate nos certames licitatórios. Além disso, sugeriu a unidade técnica que o TCU recomendasse aos gestores de sistemas de pregão eletrônico (Banco do Brasil e Caixa Econômica Federal) que orientassem seus usuários a verificar no Portal da Transparência, quando da habilitação de microempresas e de empresas de pequeno porte que tenham utilizado a prerrogativa de efetuar lance de desempate, se o somatório dos valores das ordens bancárias recebidas pela empresa extrapola o faturamento máximo permitido como condição para esse benefício. As propostas, encampadas pelo relator, foram aprovadas pelo Plenário. Precedentes citados: Acórdão nº 1028/2010, do Plenário.</w:t>
      </w:r>
      <w:r w:rsidRPr="00F078B0">
        <w:rPr>
          <w:rFonts w:ascii="Arial" w:eastAsia="Calibri" w:hAnsi="Arial" w:cs="Arial"/>
          <w:bCs/>
          <w:i/>
          <w:iCs/>
          <w:sz w:val="24"/>
        </w:rPr>
        <w:t xml:space="preserve"> </w:t>
      </w:r>
      <w:r w:rsidRPr="00F078B0">
        <w:rPr>
          <w:rFonts w:ascii="Arial" w:eastAsia="Calibri" w:hAnsi="Arial" w:cs="Arial"/>
          <w:b/>
          <w:bCs/>
          <w:i/>
          <w:iCs/>
          <w:sz w:val="24"/>
        </w:rPr>
        <w:t>Acórdão n.º 1793/2011-Plenário, TC-011.643/2010-2, rel. Min. Valmir Campelo, 06.07.2011</w:t>
      </w:r>
      <w:r w:rsidRPr="00F078B0">
        <w:rPr>
          <w:rFonts w:ascii="Arial" w:eastAsia="Calibri" w:hAnsi="Arial" w:cs="Arial"/>
          <w:bCs/>
          <w:iCs/>
          <w:sz w:val="24"/>
        </w:rPr>
        <w:t>.</w:t>
      </w:r>
    </w:p>
    <w:p w:rsidR="00F078B0" w:rsidRPr="00F078B0" w:rsidRDefault="00F078B0" w:rsidP="0068243F">
      <w:pPr>
        <w:spacing w:before="120" w:after="120" w:line="360" w:lineRule="auto"/>
        <w:jc w:val="both"/>
        <w:rPr>
          <w:rFonts w:ascii="Arial" w:eastAsia="Calibri" w:hAnsi="Arial" w:cs="Arial"/>
          <w:b/>
          <w:bCs/>
          <w:iCs/>
          <w:sz w:val="24"/>
        </w:rPr>
      </w:pPr>
    </w:p>
    <w:p w:rsidR="00F078B0" w:rsidRPr="00F078B0" w:rsidRDefault="00F078B0" w:rsidP="0068243F">
      <w:pPr>
        <w:spacing w:before="120" w:after="120" w:line="360" w:lineRule="auto"/>
        <w:jc w:val="both"/>
        <w:rPr>
          <w:rFonts w:ascii="Arial" w:eastAsia="Calibri" w:hAnsi="Arial" w:cs="Arial"/>
          <w:b/>
          <w:bCs/>
          <w:iCs/>
          <w:sz w:val="24"/>
        </w:rPr>
      </w:pPr>
      <w:r w:rsidRPr="00F078B0">
        <w:rPr>
          <w:rFonts w:ascii="Arial" w:eastAsia="Calibri" w:hAnsi="Arial" w:cs="Arial"/>
          <w:b/>
          <w:bCs/>
          <w:iCs/>
          <w:sz w:val="24"/>
        </w:rPr>
        <w:t xml:space="preserve">O sigilo quanto a determinadas informações relativas à licitação não pode afastar o direito ao contraditório e à ampla defesa nos processos no âmbito do TCU </w:t>
      </w:r>
    </w:p>
    <w:p w:rsidR="00F078B0" w:rsidRPr="00F078B0" w:rsidRDefault="00F078B0" w:rsidP="0068243F">
      <w:pPr>
        <w:spacing w:before="120" w:after="120" w:line="360" w:lineRule="auto"/>
        <w:jc w:val="both"/>
        <w:rPr>
          <w:rFonts w:ascii="Arial" w:eastAsia="Calibri" w:hAnsi="Arial" w:cs="Arial"/>
          <w:bCs/>
          <w:iCs/>
          <w:sz w:val="24"/>
        </w:rPr>
      </w:pPr>
      <w:r w:rsidRPr="00F078B0">
        <w:rPr>
          <w:rFonts w:ascii="Arial" w:eastAsia="Calibri" w:hAnsi="Arial" w:cs="Arial"/>
          <w:bCs/>
          <w:i/>
          <w:iCs/>
          <w:sz w:val="24"/>
        </w:rPr>
        <w:t>“Sistemática de licitação de sociedade de economia mista (contratante) não prevista no ordenamento jurídico, desguarnecida de razões de interesse social e de motivos objetivos capazes de justificar sua existência e que privilegia o sigilo em detrimento do princípio da publicidade e da transparência, não pode afastar o exercício do contraditório e da ampla defesa por parte de interessados nos autos (contratados) e, muito menos, obstar a fiscalização por parte do TCU”</w:t>
      </w:r>
      <w:r w:rsidRPr="00F078B0">
        <w:rPr>
          <w:rFonts w:ascii="Arial" w:eastAsia="Calibri" w:hAnsi="Arial" w:cs="Arial"/>
          <w:bCs/>
          <w:iCs/>
          <w:sz w:val="24"/>
        </w:rPr>
        <w:t>. Foi a esse entendimento a que chegou o TCU ao apreciar embargos de declaração opostos pela Petróleo Brasileiro S.A. - (Petrobras) contra os itens 1.7.3, 1.8.3 e 1.9.3 do Acórdão nº 1.319/2011, do Plenário. Na etapa processual anterior, o Tribunal deferiu pedido de vista e cópia de diversos elementos constantes dos autos a instituições privadas, interessadas no processo e executoras de contratos nas obras de construção da Refinaria Abreu e Lima, em Recife/PE, o que levou ao descontentamento da embargante, em face de alegado sigilo e confidencialidade das referências de precificação, oriundas das estimativas de custos da Petrobras, incorporadas, em parte, a planilhas preparadas por unidade técnica do Tribunal, para cálculo de sobrepreço. Na sistemática atual da Petrobras, baseada na norma interna PG-12-SL/ECP-001 (estimativas de custos de investimentos), a estatal não revela, nem antes nem após a conclusão do certame licitatório, as estimativas de custos, o que não permite às empresas, sejam licitantes ou contratadas, ter acesso às referências que levaram à formação de tais custos. Todavia, para analisar se estes estavam de acordo com a realidade de mercado, o Tribunal teve de analisar as estimativas feitas pela Petrobras, apondo-as, parcialmente, em planilha eletrônica, que embargante requereu que não fosse divulgada às instituições privadas por ela contratadas para as execuções das obras da Refinaria Abreu e Lima. Todavia, para o relator, “</w:t>
      </w:r>
      <w:r w:rsidRPr="00F078B0">
        <w:rPr>
          <w:rFonts w:ascii="Arial" w:eastAsia="Calibri" w:hAnsi="Arial" w:cs="Arial"/>
          <w:bCs/>
          <w:i/>
          <w:iCs/>
          <w:sz w:val="24"/>
        </w:rPr>
        <w:t>até que a companhia desenvolva uma tabela de custos referenciais para a área de petróleo, como fez o Departamento Nacional de Infraestrutura de Transportes -DNIT com o Sicro, por exemplo,  não há outra opção ao TCU que não a utilização das estimativas de custos preparadas pela companhia para a realização de cálculos que se prestam à aferição da conformidade dos preços praticados aos de mercado</w:t>
      </w:r>
      <w:r w:rsidRPr="00F078B0">
        <w:rPr>
          <w:rFonts w:ascii="Arial" w:eastAsia="Calibri" w:hAnsi="Arial" w:cs="Arial"/>
          <w:bCs/>
          <w:iCs/>
          <w:sz w:val="24"/>
        </w:rPr>
        <w:t>”. Ou seja, haveria que se dar o mínimo de publicidade com relação às estimativas de custos, sobretudo para que se oportunizasse, na espécie, às instituições privadas, caso desejassem, o contraditório com relação ao sobrepreço apurado pelo TCU, resultantes da comparação entre os custos informados pela Petrobras e aqueles que, na visão do Tribunal, são os custos reais. Isso, inclusive, permitiria que fosse dado vazão ao princípio do contraditório, de espeque constitucional, ainda na forma de ver do relator, o qual ressaltou, ainda, que “</w:t>
      </w:r>
      <w:r w:rsidRPr="00F078B0">
        <w:rPr>
          <w:rFonts w:ascii="Arial" w:eastAsia="Calibri" w:hAnsi="Arial" w:cs="Arial"/>
          <w:bCs/>
          <w:i/>
          <w:iCs/>
          <w:sz w:val="24"/>
        </w:rPr>
        <w:t>a opção da Petrobras em manter o absoluto sigilo de suas estimativas de custos (referências de precificação), antes do lançamento de suas licitações e após seu encerramento, não tem amparo no ordenamento jurídico vigente</w:t>
      </w:r>
      <w:r w:rsidRPr="00F078B0">
        <w:rPr>
          <w:rFonts w:ascii="Arial" w:eastAsia="Calibri" w:hAnsi="Arial" w:cs="Arial"/>
          <w:bCs/>
          <w:iCs/>
          <w:sz w:val="24"/>
        </w:rPr>
        <w:t>”. Portanto, a tese da embargante, quanto aos supostos sigilo e confidencialidade dos dados constantes das planilhas eletrônicas preparadas pela unidade instrutiva do Tribunal e que serviram de base para o cálculo do sobrepreço, não se sustenta, consoante o relator, já que “</w:t>
      </w:r>
      <w:r w:rsidRPr="00F078B0">
        <w:rPr>
          <w:rFonts w:ascii="Arial" w:eastAsia="Calibri" w:hAnsi="Arial" w:cs="Arial"/>
          <w:bCs/>
          <w:i/>
          <w:iCs/>
          <w:sz w:val="24"/>
        </w:rPr>
        <w:t>as estimativas de custos da Petrobras são sigilosas neste processo e continuarão sendo inacessíveis aos interessados, distintamente das referidas planilhas que, na ótica do controle, não têm dados tão sensíveis – como quer fazer crer a Petrobras – a ponto de não poderem ser repassados aos consórcios executores das obras</w:t>
      </w:r>
      <w:r w:rsidRPr="00F078B0">
        <w:rPr>
          <w:rFonts w:ascii="Arial" w:eastAsia="Calibri" w:hAnsi="Arial" w:cs="Arial"/>
          <w:bCs/>
          <w:iCs/>
          <w:sz w:val="24"/>
        </w:rPr>
        <w:t xml:space="preserve">”. Destarte, no ponto, o relator, com o referendo do Plenário, não acatou a ideia defendida pela estatal nos embargos apresentados. Todavia, de modo a esclarecer o conteúdo da decisão inicial, acolheu, parcialmente, o recurso, para registrar que os documentos que deveriam ser fornecidos às instituições privadas executoras das obras seriam as planilhas elaboradas pelo TCU, com o cálculo do sobrepreço, sendo que as fórmulas relativas às estimativas de custos da companhia deveriam continuar resguardadas por sigilo e não sendo disponibilizadas aos interessados. Nos termos do voto do relator, o Plenário manifestou sua anuência. </w:t>
      </w:r>
      <w:r w:rsidRPr="00F078B0">
        <w:rPr>
          <w:rFonts w:ascii="Arial" w:eastAsia="Calibri" w:hAnsi="Arial" w:cs="Arial"/>
          <w:b/>
          <w:bCs/>
          <w:i/>
          <w:iCs/>
          <w:sz w:val="24"/>
        </w:rPr>
        <w:t>Acórdão n.º 1784/2011-Plenário, TC-009.830/2010-3, rel. Min. Min. Ubiratan Aguiar, 06.07.2011</w:t>
      </w:r>
      <w:r w:rsidRPr="00F078B0">
        <w:rPr>
          <w:rFonts w:ascii="Arial" w:eastAsia="Calibri" w:hAnsi="Arial" w:cs="Arial"/>
          <w:bCs/>
          <w:iCs/>
          <w:sz w:val="24"/>
        </w:rPr>
        <w:t>.</w:t>
      </w:r>
    </w:p>
    <w:p w:rsidR="001854F3" w:rsidRPr="001854F3" w:rsidRDefault="001854F3" w:rsidP="0068243F">
      <w:pPr>
        <w:spacing w:before="120" w:after="120" w:line="360" w:lineRule="auto"/>
        <w:jc w:val="both"/>
        <w:rPr>
          <w:rFonts w:ascii="Arial" w:eastAsia="Calibri" w:hAnsi="Arial" w:cs="Arial"/>
          <w:bCs/>
          <w:iCs/>
          <w:sz w:val="24"/>
        </w:rPr>
      </w:pPr>
    </w:p>
    <w:p w:rsidR="00543995" w:rsidRPr="00543995" w:rsidRDefault="00543995" w:rsidP="0068243F">
      <w:pPr>
        <w:spacing w:before="120" w:after="240" w:line="360" w:lineRule="auto"/>
        <w:jc w:val="both"/>
        <w:rPr>
          <w:rFonts w:ascii="Arial" w:eastAsia="Calibri" w:hAnsi="Arial" w:cs="Arial"/>
          <w:bCs/>
          <w:iCs/>
          <w:sz w:val="24"/>
        </w:rPr>
      </w:pPr>
    </w:p>
    <w:p w:rsidR="004C05B9" w:rsidRDefault="00707192" w:rsidP="0068243F">
      <w:pPr>
        <w:spacing w:before="120" w:after="240" w:line="360" w:lineRule="auto"/>
        <w:jc w:val="center"/>
        <w:rPr>
          <w:rFonts w:ascii="Arial" w:eastAsia="Calibri" w:hAnsi="Arial" w:cs="Arial"/>
          <w:b/>
          <w:bCs/>
          <w:iCs/>
          <w:sz w:val="32"/>
        </w:rPr>
      </w:pPr>
      <w:r>
        <w:rPr>
          <w:rFonts w:ascii="Arial" w:eastAsia="Calibri" w:hAnsi="Arial" w:cs="Arial"/>
          <w:b/>
          <w:bCs/>
          <w:iCs/>
          <w:sz w:val="32"/>
        </w:rPr>
        <w:t xml:space="preserve">71. </w:t>
      </w:r>
    </w:p>
    <w:p w:rsidR="00707192" w:rsidRPr="00707192" w:rsidRDefault="00707192" w:rsidP="0068243F">
      <w:pPr>
        <w:spacing w:after="0" w:line="360" w:lineRule="auto"/>
        <w:jc w:val="both"/>
        <w:rPr>
          <w:rFonts w:ascii="Arial" w:eastAsia="Calibri" w:hAnsi="Arial" w:cs="Arial"/>
          <w:b/>
          <w:sz w:val="24"/>
        </w:rPr>
      </w:pPr>
      <w:r w:rsidRPr="00707192">
        <w:rPr>
          <w:rFonts w:ascii="Arial" w:eastAsia="Calibri" w:hAnsi="Arial" w:cs="Arial"/>
          <w:b/>
          <w:sz w:val="24"/>
        </w:rPr>
        <w:t xml:space="preserve">Licitação de obra pública: 1 – Para o fim de cálculo de inexequibilidade de proposta comercial, os critérios estabelecidos na Lei 8.666/1993 não são absolutos, devendo a instituição pública contratante adotar providências com vistas à aferição </w:t>
      </w:r>
      <w:r w:rsidRPr="00707192">
        <w:rPr>
          <w:rFonts w:ascii="Arial" w:eastAsia="Calibri" w:hAnsi="Arial" w:cs="Arial"/>
          <w:b/>
          <w:sz w:val="24"/>
          <w:lang w:val="pt-PT"/>
        </w:rPr>
        <w:t>da viabilidade dos valores ofertados, antes da desclassificação da proponente</w:t>
      </w:r>
    </w:p>
    <w:p w:rsidR="00707192" w:rsidRPr="00707192" w:rsidRDefault="00707192" w:rsidP="0068243F">
      <w:pPr>
        <w:tabs>
          <w:tab w:val="left" w:pos="1134"/>
        </w:tabs>
        <w:spacing w:after="0" w:line="360" w:lineRule="auto"/>
        <w:jc w:val="both"/>
        <w:rPr>
          <w:rFonts w:ascii="Arial" w:eastAsia="Times New Roman" w:hAnsi="Arial" w:cs="Arial"/>
          <w:b/>
          <w:i/>
          <w:sz w:val="24"/>
          <w:lang w:eastAsia="pt-BR"/>
        </w:rPr>
      </w:pPr>
      <w:r w:rsidRPr="00707192">
        <w:rPr>
          <w:rFonts w:ascii="Arial" w:eastAsia="Times New Roman" w:hAnsi="Arial" w:cs="Arial"/>
          <w:sz w:val="24"/>
          <w:lang w:eastAsia="pt-BR"/>
        </w:rPr>
        <w:t>Mediante</w:t>
      </w:r>
      <w:r w:rsidRPr="00707192">
        <w:rPr>
          <w:rFonts w:ascii="Arial" w:eastAsia="Times New Roman" w:hAnsi="Arial" w:cs="Arial"/>
          <w:noProof/>
          <w:sz w:val="24"/>
          <w:lang w:eastAsia="pt-BR"/>
        </w:rPr>
        <w:t xml:space="preserve"> auditoria realizada no Instituto Federal de Educação, Ciência e Tecnologia do Amazonas – (Ifam), com o objetivo de fiscalizar obras do Programa de Trabalho </w:t>
      </w:r>
      <w:r w:rsidRPr="00707192">
        <w:rPr>
          <w:rFonts w:ascii="Arial" w:eastAsia="Times New Roman" w:hAnsi="Arial" w:cs="Arial"/>
          <w:i/>
          <w:noProof/>
          <w:sz w:val="24"/>
          <w:lang w:eastAsia="pt-BR"/>
        </w:rPr>
        <w:t>“Funcionamento da Educação Profissional no Estado do Amazonas”</w:t>
      </w:r>
      <w:r w:rsidRPr="00707192">
        <w:rPr>
          <w:rFonts w:ascii="Arial" w:eastAsia="Times New Roman" w:hAnsi="Arial" w:cs="Arial"/>
          <w:noProof/>
          <w:sz w:val="24"/>
          <w:lang w:eastAsia="pt-BR"/>
        </w:rPr>
        <w:t xml:space="preserve">, o Tribunal identificou possíveis irregularidades, dentre elas, a desclassificação sumária de empresa privada em processo licitatório no qual apresentara preço inferior em cerca de 25% da empresa que fora contratada. Para o relator, o </w:t>
      </w:r>
      <w:r w:rsidRPr="00707192">
        <w:rPr>
          <w:rFonts w:ascii="Arial" w:eastAsia="Times New Roman" w:hAnsi="Arial" w:cs="Arial"/>
          <w:sz w:val="24"/>
          <w:lang w:val="pt-PT" w:eastAsia="pt-BR"/>
        </w:rPr>
        <w:t>Ifam agira de modo indevido ao desclassificar a empresa que apresentara o menor preço sem lhe conferir oportunidade de comprovar a viabilidade de sua proposta, isso porque “</w:t>
      </w:r>
      <w:r w:rsidRPr="00707192">
        <w:rPr>
          <w:rFonts w:ascii="Arial" w:eastAsia="Times New Roman" w:hAnsi="Arial" w:cs="Arial"/>
          <w:i/>
          <w:sz w:val="24"/>
          <w:lang w:val="pt-PT" w:eastAsia="pt-BR"/>
        </w:rPr>
        <w:t>os critérios elencados pela Lei nº 8.666, de 21 de junho de 1993, para definir a proposta inexequível apenas conduzem a uma presunção relativa de inexequibilidade de preços</w:t>
      </w:r>
      <w:r w:rsidRPr="00707192">
        <w:rPr>
          <w:rFonts w:ascii="Arial" w:eastAsia="Times New Roman" w:hAnsi="Arial" w:cs="Arial"/>
          <w:sz w:val="24"/>
          <w:lang w:val="pt-PT" w:eastAsia="pt-BR"/>
        </w:rPr>
        <w:t>”. Nesse cenário, para o relator, considerando que a empresa desclassificada houvera apresentado a melhor proposta, caberia ao Ifam diligenciar junto a tal pessoa jurídica, “</w:t>
      </w:r>
      <w:r w:rsidRPr="00707192">
        <w:rPr>
          <w:rFonts w:ascii="Arial" w:eastAsia="Times New Roman" w:hAnsi="Arial" w:cs="Arial"/>
          <w:i/>
          <w:sz w:val="24"/>
          <w:lang w:val="pt-PT" w:eastAsia="pt-BR"/>
        </w:rPr>
        <w:t>de modo a comprovar a viabilidade dos valores de sua oferta, de modo que, ao não agir assim, a entidade contratou com preço mais elevado sem justificativa plausível para tanto</w:t>
      </w:r>
      <w:r w:rsidRPr="00707192">
        <w:rPr>
          <w:rFonts w:ascii="Arial" w:eastAsia="Times New Roman" w:hAnsi="Arial" w:cs="Arial"/>
          <w:sz w:val="24"/>
          <w:lang w:val="pt-PT" w:eastAsia="pt-BR"/>
        </w:rPr>
        <w:t xml:space="preserve">”. Todavia, deixou de imputar responsabilidade pelo fato ao Diretor do Ifam, por não haver nos autos elementos que vinculassem sua conduta à adoção das medidas requeridas. Ainda para o relator, a lógica por trás disso é que medidas dessa natureza estariam afetas a setores operacionais, a exemplo da comissão de licitação, não competindo esse tipo de atribuição ao nível gerencial da entidade, na qual se insere o dirigente máximo. Assim, no ponto, votou pela não responsabilização do Diretor do Ifam, sem prejuízo que fossem sancionados os servidores diretamente envolvidos com a irregularidade, o que foi acolhido pelo Plenário. </w:t>
      </w:r>
      <w:r w:rsidRPr="00707192">
        <w:rPr>
          <w:rFonts w:ascii="Arial" w:eastAsia="Times New Roman" w:hAnsi="Arial" w:cs="Arial"/>
          <w:b/>
          <w:i/>
          <w:sz w:val="24"/>
          <w:lang w:eastAsia="pt-BR"/>
        </w:rPr>
        <w:t>Acórdão n.º 1857/2011, TC-009.006/2009-9, rel. Min.-Subst. André Luis de Carvalho, 13.07.2011.</w:t>
      </w:r>
    </w:p>
    <w:p w:rsidR="00707192" w:rsidRPr="00707192" w:rsidRDefault="00707192" w:rsidP="0068243F">
      <w:pPr>
        <w:tabs>
          <w:tab w:val="left" w:pos="1134"/>
        </w:tabs>
        <w:spacing w:after="0" w:line="360" w:lineRule="auto"/>
        <w:jc w:val="both"/>
        <w:rPr>
          <w:rFonts w:ascii="Arial" w:eastAsia="Times New Roman" w:hAnsi="Arial" w:cs="Arial"/>
          <w:b/>
          <w:i/>
          <w:sz w:val="24"/>
          <w:lang w:eastAsia="pt-BR"/>
        </w:rPr>
      </w:pPr>
    </w:p>
    <w:p w:rsidR="00707192" w:rsidRPr="00707192" w:rsidRDefault="00707192" w:rsidP="0068243F">
      <w:pPr>
        <w:tabs>
          <w:tab w:val="left" w:pos="1134"/>
        </w:tabs>
        <w:spacing w:after="0" w:line="360" w:lineRule="auto"/>
        <w:jc w:val="both"/>
        <w:rPr>
          <w:rFonts w:ascii="Arial" w:eastAsia="Times New Roman" w:hAnsi="Arial" w:cs="Arial"/>
          <w:b/>
          <w:sz w:val="24"/>
          <w:lang w:eastAsia="pt-BR"/>
        </w:rPr>
      </w:pPr>
      <w:r w:rsidRPr="00707192">
        <w:rPr>
          <w:rFonts w:ascii="Arial" w:eastAsia="Times New Roman" w:hAnsi="Arial" w:cs="Arial"/>
          <w:b/>
          <w:sz w:val="24"/>
          <w:lang w:eastAsia="pt-BR"/>
        </w:rPr>
        <w:t xml:space="preserve">Licitação de obra pública: 2 – Para a responsabilização de parecerista jurídico em processo licitatório é necessário que se comprove que, na emissão da opinião, houve </w:t>
      </w:r>
      <w:r w:rsidRPr="00707192">
        <w:rPr>
          <w:rFonts w:ascii="Arial" w:eastAsia="Times New Roman" w:hAnsi="Arial" w:cs="Arial"/>
          <w:b/>
          <w:sz w:val="24"/>
          <w:lang w:val="pt-PT" w:eastAsia="pt-BR"/>
        </w:rPr>
        <w:t>erro grosseiro ou inescusável, com dolo ou culpa</w:t>
      </w:r>
    </w:p>
    <w:p w:rsidR="00707192" w:rsidRPr="00707192" w:rsidRDefault="00707192" w:rsidP="0068243F">
      <w:pPr>
        <w:tabs>
          <w:tab w:val="left" w:pos="1134"/>
        </w:tabs>
        <w:spacing w:after="0" w:line="360" w:lineRule="auto"/>
        <w:jc w:val="both"/>
        <w:rPr>
          <w:rFonts w:ascii="Arial" w:eastAsia="Times New Roman" w:hAnsi="Arial" w:cs="Arial"/>
          <w:b/>
          <w:i/>
          <w:sz w:val="24"/>
          <w:lang w:eastAsia="pt-BR"/>
        </w:rPr>
      </w:pPr>
      <w:r w:rsidRPr="00707192">
        <w:rPr>
          <w:rFonts w:ascii="Arial" w:eastAsia="Times New Roman" w:hAnsi="Arial" w:cs="Arial"/>
          <w:sz w:val="24"/>
          <w:lang w:eastAsia="pt-BR"/>
        </w:rPr>
        <w:t xml:space="preserve">Ainda na </w:t>
      </w:r>
      <w:r w:rsidRPr="00707192">
        <w:rPr>
          <w:rFonts w:ascii="Arial" w:eastAsia="Times New Roman" w:hAnsi="Arial" w:cs="Arial"/>
          <w:noProof/>
          <w:sz w:val="24"/>
          <w:lang w:eastAsia="pt-BR"/>
        </w:rPr>
        <w:t xml:space="preserve">auditoria realizada no Instituto Federal de Educação, Ciência e Tecnologia do Amazonas – (Ifam), com o objetivo de fiscalizar obras do Programa de Trabalho </w:t>
      </w:r>
      <w:r w:rsidRPr="00707192">
        <w:rPr>
          <w:rFonts w:ascii="Arial" w:eastAsia="Times New Roman" w:hAnsi="Arial" w:cs="Arial"/>
          <w:i/>
          <w:noProof/>
          <w:sz w:val="24"/>
          <w:lang w:eastAsia="pt-BR"/>
        </w:rPr>
        <w:t>“Funcionamento da Educação Profissional no Estado do Amazonas”</w:t>
      </w:r>
      <w:r w:rsidRPr="00707192">
        <w:rPr>
          <w:rFonts w:ascii="Arial" w:eastAsia="Times New Roman" w:hAnsi="Arial" w:cs="Arial"/>
          <w:noProof/>
          <w:sz w:val="24"/>
          <w:lang w:eastAsia="pt-BR"/>
        </w:rPr>
        <w:t>, o Tribunal cuidou da responsabilização dos responsáveis pela emissão de parecer jurídico, na licitação que levou à desclassificação sumária de empresa privada em que apresentara preço inferior em cerca de 25% da empresa que fora contratada. No voto, o relator destacou que “</w:t>
      </w:r>
      <w:r w:rsidRPr="00707192">
        <w:rPr>
          <w:rFonts w:ascii="Arial" w:eastAsia="Times New Roman" w:hAnsi="Arial" w:cs="Arial"/>
          <w:i/>
          <w:sz w:val="24"/>
          <w:lang w:val="pt-PT" w:eastAsia="pt-BR"/>
        </w:rPr>
        <w:t>em regra, há responsabilização desse tipo de profissional quando o ato enunciativo por ele praticado contém erro grosseiro ou inescusável com dolo ou culpa</w:t>
      </w:r>
      <w:r w:rsidRPr="00707192">
        <w:rPr>
          <w:rFonts w:ascii="Arial" w:eastAsia="Times New Roman" w:hAnsi="Arial" w:cs="Arial"/>
          <w:sz w:val="24"/>
          <w:lang w:val="pt-PT" w:eastAsia="pt-BR"/>
        </w:rPr>
        <w:t>”. Todavia, na espécie, observou o relator que o parecer emitido pautara suas considerações a partir de análise objetiva das questões tratadas, em face da realidade local. Na verdade, os pareceristas teriam chamado a atenção da Administração para o que se considerou riscos potenciais, os quais apontavam para a possibilidade de inexequibilidade dos preços, caso em que, consoante o relator, “</w:t>
      </w:r>
      <w:r w:rsidRPr="00707192">
        <w:rPr>
          <w:rFonts w:ascii="Arial" w:eastAsia="Times New Roman" w:hAnsi="Arial" w:cs="Arial"/>
          <w:i/>
          <w:sz w:val="24"/>
          <w:lang w:val="pt-PT" w:eastAsia="pt-BR"/>
        </w:rPr>
        <w:t>caberia à administração a adoção de outras medidas, antes da pronta desclassificação do interessado</w:t>
      </w:r>
      <w:r w:rsidRPr="00707192">
        <w:rPr>
          <w:rFonts w:ascii="Arial" w:eastAsia="Times New Roman" w:hAnsi="Arial" w:cs="Arial"/>
          <w:sz w:val="24"/>
          <w:lang w:val="pt-PT" w:eastAsia="pt-BR"/>
        </w:rPr>
        <w:t xml:space="preserve">”. Em face disso, por entender não haver sustentação para a que fossem responsabilizados os servidores que atuaram como pareceristas no certame examinado, o relator isentou tais agentes, sem prejuízo que fossem sancionados os servidores diretamente envolvidos com a irregularidade, o que foi acolhido pelo Plenário. </w:t>
      </w:r>
      <w:r w:rsidRPr="00707192">
        <w:rPr>
          <w:rFonts w:ascii="Arial" w:eastAsia="Times New Roman" w:hAnsi="Arial" w:cs="Arial"/>
          <w:b/>
          <w:i/>
          <w:sz w:val="24"/>
          <w:lang w:eastAsia="pt-BR"/>
        </w:rPr>
        <w:t>Acórdão n.º 1857/2011, TC-009.006/2009-9, rel. Min.-Subst. André Luis de Carvalho, 13.07.2011.</w:t>
      </w:r>
    </w:p>
    <w:p w:rsidR="00707192" w:rsidRPr="004C05B9" w:rsidRDefault="00707192" w:rsidP="0068243F">
      <w:pPr>
        <w:spacing w:before="120" w:after="240" w:line="360" w:lineRule="auto"/>
        <w:jc w:val="center"/>
        <w:rPr>
          <w:rFonts w:ascii="Arial" w:eastAsia="Calibri" w:hAnsi="Arial" w:cs="Arial"/>
          <w:b/>
          <w:bCs/>
          <w:iCs/>
          <w:sz w:val="32"/>
        </w:rPr>
      </w:pPr>
    </w:p>
    <w:p w:rsidR="0052133E" w:rsidRPr="0052133E" w:rsidRDefault="0052133E" w:rsidP="0068243F">
      <w:pPr>
        <w:spacing w:before="120" w:after="240" w:line="360" w:lineRule="auto"/>
        <w:jc w:val="both"/>
        <w:rPr>
          <w:rFonts w:ascii="Arial" w:eastAsia="Calibri" w:hAnsi="Arial" w:cs="Arial"/>
          <w:b/>
          <w:bCs/>
          <w:iCs/>
          <w:sz w:val="28"/>
        </w:rPr>
      </w:pPr>
    </w:p>
    <w:p w:rsidR="007A5C63" w:rsidRPr="007A5C63" w:rsidRDefault="007A5C63" w:rsidP="0068243F">
      <w:pPr>
        <w:spacing w:before="120" w:after="240" w:line="360" w:lineRule="auto"/>
        <w:jc w:val="both"/>
        <w:rPr>
          <w:rFonts w:ascii="Arial" w:eastAsia="Calibri" w:hAnsi="Arial" w:cs="Arial"/>
          <w:bCs/>
          <w:iCs/>
          <w:sz w:val="24"/>
        </w:rPr>
      </w:pPr>
    </w:p>
    <w:p w:rsidR="001915FA" w:rsidRDefault="00A65BBC" w:rsidP="0068243F">
      <w:pPr>
        <w:spacing w:before="120" w:after="240" w:line="360" w:lineRule="auto"/>
        <w:jc w:val="center"/>
        <w:rPr>
          <w:rFonts w:ascii="Arial" w:eastAsia="Calibri" w:hAnsi="Arial" w:cs="Arial"/>
          <w:bCs/>
          <w:iCs/>
          <w:sz w:val="32"/>
        </w:rPr>
      </w:pPr>
      <w:r>
        <w:rPr>
          <w:rFonts w:ascii="Arial" w:eastAsia="Calibri" w:hAnsi="Arial" w:cs="Arial"/>
          <w:bCs/>
          <w:iCs/>
          <w:sz w:val="32"/>
        </w:rPr>
        <w:t>72.</w:t>
      </w:r>
    </w:p>
    <w:p w:rsidR="00A65BBC" w:rsidRPr="00A65BBC" w:rsidRDefault="00A65BBC" w:rsidP="0068243F">
      <w:pPr>
        <w:tabs>
          <w:tab w:val="left" w:pos="709"/>
        </w:tabs>
        <w:spacing w:after="0" w:line="360" w:lineRule="auto"/>
        <w:jc w:val="both"/>
        <w:rPr>
          <w:rFonts w:ascii="Arial" w:eastAsia="Calibri" w:hAnsi="Arial" w:cs="Arial"/>
          <w:b/>
          <w:sz w:val="28"/>
        </w:rPr>
      </w:pPr>
      <w:r w:rsidRPr="00A65BBC">
        <w:rPr>
          <w:rFonts w:ascii="Arial" w:eastAsia="Calibri" w:hAnsi="Arial" w:cs="Arial"/>
          <w:b/>
          <w:sz w:val="28"/>
        </w:rPr>
        <w:t xml:space="preserve">Licitação de obra pública: a exigência de apresentação por parte das licitantes do </w:t>
      </w:r>
      <w:r w:rsidRPr="00A65BBC">
        <w:rPr>
          <w:rFonts w:ascii="Arial" w:eastAsia="Calibri" w:hAnsi="Arial" w:cs="Arial"/>
          <w:b/>
          <w:sz w:val="28"/>
          <w:lang w:eastAsia="pt-BR"/>
        </w:rPr>
        <w:t>Programa de Condições e Meio Ambiente de Trabalho na Indústria da Construção – (PCMAT) só pode ser feita em obras com mais de 20 trabalhadores</w:t>
      </w:r>
    </w:p>
    <w:p w:rsidR="00A65BBC" w:rsidRPr="00A65BBC" w:rsidRDefault="00A65BBC" w:rsidP="0068243F">
      <w:pPr>
        <w:widowControl w:val="0"/>
        <w:autoSpaceDE w:val="0"/>
        <w:autoSpaceDN w:val="0"/>
        <w:adjustRightInd w:val="0"/>
        <w:spacing w:after="0" w:line="360" w:lineRule="auto"/>
        <w:jc w:val="both"/>
        <w:rPr>
          <w:rFonts w:ascii="Arial" w:eastAsia="Calibri" w:hAnsi="Arial" w:cs="Arial"/>
          <w:b/>
          <w:i/>
          <w:sz w:val="24"/>
        </w:rPr>
      </w:pPr>
      <w:r w:rsidRPr="00A65BBC">
        <w:rPr>
          <w:rFonts w:ascii="Arial" w:eastAsia="Calibri" w:hAnsi="Arial" w:cs="Arial"/>
          <w:sz w:val="24"/>
          <w:lang w:eastAsia="pt-BR"/>
        </w:rPr>
        <w:t>Auditoria levada a efeito no Departamento Penitenciário Nacional - Depen, na Caixa Econômica Federal - Caixa e em órgão do Governo do Estado do Rio Grande do Norte teve como objetivo verificar a conformidade da aplicação dos recursos federais na obra de construção da Cadeia Pública da cidade de Ceará Mirim. A partir dos levantamentos feitos pela unidade técnica, o relator observou que das seis empresas participantes da licitação das obras, cinco foram inabilitadas por suposta desobediência à exigência constante do item 5.3.3 do edital da licitação das obras, o qual exigia das empresas licitantes a apresentação, em suas propostas, de plano de trabalho que descrevesse os ‘procedimentos de segurança e de prevenção de riscos de trabalho’ aplicáveis à execução da obra. Objetivamente, a inabilitação das cinco empresas ocorrera porque elas apenas haveriam declarado que seguiriam os procedimentos determinados pela NR-18, norma regulamentadora do Ministério do Trabalho e Emprego, que estabelece diretrizes para implementação de medidas de controle e sistemas preventivos de segurança, sem, entretanto, apresentar o Programa de Condições e Meio Ambiente de Trabalho na Indústria da Construção – (PCMAT), trazido apenas pela única habilitada, a qual acabou sendo declarada vencedora do certame. Todavia, no voto, o relator do feito destacou que o PCMAT, “</w:t>
      </w:r>
      <w:r w:rsidRPr="00A65BBC">
        <w:rPr>
          <w:rFonts w:ascii="Arial" w:eastAsia="Calibri" w:hAnsi="Arial" w:cs="Arial"/>
          <w:i/>
          <w:sz w:val="24"/>
          <w:lang w:eastAsia="pt-BR"/>
        </w:rPr>
        <w:t>é requisito da NR-18 que deve ser cumprido em obras com mais de 20 trabalhadores</w:t>
      </w:r>
      <w:r w:rsidRPr="00A65BBC">
        <w:rPr>
          <w:rFonts w:ascii="Arial" w:eastAsia="Calibri" w:hAnsi="Arial" w:cs="Arial"/>
          <w:sz w:val="24"/>
          <w:lang w:eastAsia="pt-BR"/>
        </w:rPr>
        <w:t>”. Não obstante, “</w:t>
      </w:r>
      <w:r w:rsidRPr="00A65BBC">
        <w:rPr>
          <w:rFonts w:ascii="Arial" w:eastAsia="Calibri" w:hAnsi="Arial" w:cs="Arial"/>
          <w:i/>
          <w:sz w:val="24"/>
          <w:lang w:eastAsia="pt-BR"/>
        </w:rPr>
        <w:t>o art. 30, § 8º da Lei de Licitações consigna que a metodologia de execução dos serviços só poderá ser exigida no caso de obras grande vulto - acima de R$ 37,5 milhões - e de alta complexidade técnica</w:t>
      </w:r>
      <w:r w:rsidRPr="00A65BBC">
        <w:rPr>
          <w:rFonts w:ascii="Arial" w:eastAsia="Calibri" w:hAnsi="Arial" w:cs="Arial"/>
          <w:sz w:val="24"/>
          <w:lang w:eastAsia="pt-BR"/>
        </w:rPr>
        <w:t>”, o que não fora o caso. Por consequência, ainda para o relator, a declaração apresentada pelas licitantes inabilitadas atenderia a exigência editalícia, dado que “</w:t>
      </w:r>
      <w:r w:rsidRPr="00A65BBC">
        <w:rPr>
          <w:rFonts w:ascii="Arial" w:eastAsia="Calibri" w:hAnsi="Arial" w:cs="Arial"/>
          <w:i/>
          <w:sz w:val="24"/>
          <w:lang w:eastAsia="pt-BR"/>
        </w:rPr>
        <w:t>a afirmação de que cumprirão a norma, levada a termo da proposta, constitui garantia de execução que, em caso de descumprimento, poderá ser objeto de sanção, nos termos da lei</w:t>
      </w:r>
      <w:r w:rsidRPr="00A65BBC">
        <w:rPr>
          <w:rFonts w:ascii="Arial" w:eastAsia="Calibri" w:hAnsi="Arial" w:cs="Arial"/>
          <w:sz w:val="24"/>
          <w:lang w:eastAsia="pt-BR"/>
        </w:rPr>
        <w:t xml:space="preserve">”. Votou o relator, então, por que fossem promovidas oitivas das Secretarias Estaduais do Governo do Rio Grande do Norte responsáveis pela potencial irregularidade, sem prejuízo, de dar ciência a elas, ainda, da falta de amparo legal do item de habilitação questionado. O Plenário, nos termos do voto do relator, manifestou sua anuência. </w:t>
      </w:r>
      <w:r w:rsidRPr="00A65BBC">
        <w:rPr>
          <w:rFonts w:ascii="Arial" w:eastAsia="Calibri" w:hAnsi="Arial" w:cs="Arial"/>
          <w:b/>
          <w:i/>
          <w:sz w:val="24"/>
        </w:rPr>
        <w:t>Acórdão n.º 1883/2011-Plenário, TC-011.664/2011-8, rel. Min. Raimundo Carreiro, 20.07.2011.</w:t>
      </w:r>
    </w:p>
    <w:p w:rsidR="00A65BBC" w:rsidRPr="00A65BBC" w:rsidRDefault="00A65BBC" w:rsidP="0068243F">
      <w:pPr>
        <w:tabs>
          <w:tab w:val="left" w:pos="2590"/>
        </w:tabs>
        <w:autoSpaceDE w:val="0"/>
        <w:autoSpaceDN w:val="0"/>
        <w:adjustRightInd w:val="0"/>
        <w:spacing w:after="0" w:line="360" w:lineRule="auto"/>
        <w:jc w:val="both"/>
        <w:rPr>
          <w:rFonts w:ascii="Arial" w:eastAsia="Times New Roman" w:hAnsi="Arial" w:cs="Arial"/>
          <w:b/>
          <w:bCs/>
          <w:sz w:val="24"/>
          <w:lang w:eastAsia="pt-BR"/>
        </w:rPr>
      </w:pPr>
    </w:p>
    <w:p w:rsidR="00A65BBC" w:rsidRPr="00A65BBC" w:rsidRDefault="00A65BBC" w:rsidP="0068243F">
      <w:pPr>
        <w:spacing w:after="0" w:line="360" w:lineRule="auto"/>
        <w:jc w:val="both"/>
        <w:rPr>
          <w:rFonts w:ascii="Arial" w:eastAsia="Times New Roman" w:hAnsi="Arial" w:cs="Arial"/>
          <w:b/>
          <w:sz w:val="28"/>
        </w:rPr>
      </w:pPr>
      <w:r w:rsidRPr="00A65BBC">
        <w:rPr>
          <w:rFonts w:ascii="Arial" w:eastAsia="Times New Roman" w:hAnsi="Arial" w:cs="Arial"/>
          <w:b/>
          <w:snapToGrid w:val="0"/>
          <w:sz w:val="28"/>
        </w:rPr>
        <w:t>Licitação de obra pública: 1 - A exigência de comprovação de capacidade técnica-operacional deve se limitar estritamente às parcelas do objeto licitado de maior relevância técnica e de valor mais significativo</w:t>
      </w:r>
      <w:r w:rsidRPr="00A65BBC">
        <w:rPr>
          <w:rFonts w:ascii="Arial" w:eastAsia="Times New Roman" w:hAnsi="Arial" w:cs="Arial"/>
          <w:b/>
          <w:sz w:val="28"/>
        </w:rPr>
        <w:t xml:space="preserve"> </w:t>
      </w:r>
    </w:p>
    <w:p w:rsidR="00A65BBC" w:rsidRPr="00A65BBC" w:rsidRDefault="00A65BBC" w:rsidP="0068243F">
      <w:pPr>
        <w:spacing w:after="0" w:line="360" w:lineRule="auto"/>
        <w:jc w:val="both"/>
        <w:rPr>
          <w:rFonts w:ascii="Arial" w:eastAsia="Times New Roman" w:hAnsi="Arial" w:cs="Arial"/>
          <w:b/>
          <w:i/>
        </w:rPr>
      </w:pPr>
      <w:r w:rsidRPr="00A65BBC">
        <w:rPr>
          <w:rFonts w:ascii="Arial" w:eastAsia="Times New Roman" w:hAnsi="Arial" w:cs="Arial"/>
          <w:sz w:val="24"/>
        </w:rPr>
        <w:t>Em auditoria realizada no Departamento Penitenciário Nacional – (Depen), na Caixa Econômica Federal – (CEF) e no Governo do Estado do Mato Grosso do Sul, com o objetivo de verificar a conformidade da aplicação de recursos federais em obras públicas de reforma e ampliação do estabelecimento penal masculino de Corumbá/MS, o Tribunal detectou diversas irregularidades, dentre elas, a necessidade de c</w:t>
      </w:r>
      <w:r w:rsidRPr="00A65BBC">
        <w:rPr>
          <w:rFonts w:ascii="Arial" w:eastAsia="Times New Roman" w:hAnsi="Arial" w:cs="Arial"/>
          <w:snapToGrid w:val="0"/>
          <w:sz w:val="24"/>
        </w:rPr>
        <w:t>omprovação, por parte das licitantes, da capacitação técnico-operacional, mediante apresentação de atestados, para item de pouca relevância técnica</w:t>
      </w:r>
      <w:r w:rsidRPr="00A65BBC">
        <w:rPr>
          <w:rFonts w:ascii="Arial" w:eastAsia="Times New Roman" w:hAnsi="Arial" w:cs="Arial"/>
          <w:sz w:val="24"/>
        </w:rPr>
        <w:t xml:space="preserve">. Para a unidade técnica responsável pelo feito, </w:t>
      </w:r>
      <w:r w:rsidRPr="00A65BBC">
        <w:rPr>
          <w:rFonts w:ascii="Arial" w:eastAsia="Times New Roman" w:hAnsi="Arial" w:cs="Arial"/>
          <w:snapToGrid w:val="0"/>
          <w:sz w:val="24"/>
        </w:rPr>
        <w:t>“</w:t>
      </w:r>
      <w:r w:rsidRPr="00A65BBC">
        <w:rPr>
          <w:rFonts w:ascii="Arial" w:eastAsia="Times New Roman" w:hAnsi="Arial" w:cs="Arial"/>
          <w:i/>
          <w:snapToGrid w:val="0"/>
          <w:sz w:val="24"/>
        </w:rPr>
        <w:t>a exigência de comprovação de capacidade técnica-operacional deve se limitar estritamente às parcelas do objeto licitado de maior relevância técnica e de valor mais significativo</w:t>
      </w:r>
      <w:r w:rsidRPr="00A65BBC">
        <w:rPr>
          <w:rFonts w:ascii="Arial" w:eastAsia="Times New Roman" w:hAnsi="Arial" w:cs="Arial"/>
          <w:snapToGrid w:val="0"/>
          <w:sz w:val="24"/>
        </w:rPr>
        <w:t>”. No caso em exame, o edital da concorrência 30/2010-CLO exigira atestado de capacidade técnica relativo ao item ‘cobertura com telha galvanizada trapezoidal’, que não apresentava qualquer relevância ou complexidade técnica com relação ao empreendimento que justificasse a exigência, já que não haveria necessidade de qualquer profissional ou equipamento especial, que não estivesse presente em grande parte das obras de engenharia. Além disso, “</w:t>
      </w:r>
      <w:r w:rsidRPr="00A65BBC">
        <w:rPr>
          <w:rFonts w:ascii="Arial" w:eastAsia="Times New Roman" w:hAnsi="Arial" w:cs="Arial"/>
          <w:i/>
          <w:snapToGrid w:val="0"/>
          <w:sz w:val="24"/>
        </w:rPr>
        <w:t>empresas construtoras que já executaram coberturas com telhas de fibrocimento, ou ainda com telhas cerâmicas, possuem plena capacidade técnica para construir telhados com telhas galvanizadas, não sendo razoável exigir um tipo de telhamento específico</w:t>
      </w:r>
      <w:r w:rsidRPr="00A65BBC">
        <w:rPr>
          <w:rFonts w:ascii="Arial" w:eastAsia="Times New Roman" w:hAnsi="Arial" w:cs="Arial"/>
          <w:snapToGrid w:val="0"/>
          <w:sz w:val="24"/>
        </w:rPr>
        <w:t>”. Destacou a unidade técnica, ainda, que a discricionariedade dada à Administração para juízo de valor quanto ao que seria relevante, para fins de comprovação de capacidade técnica, não dispensaria razoabilidade na escolha dos itens de referência, pelo que a exigência, na espécie, deveria ser considerada indevida, o que foi acolhido pelo relator, o qual votou por que o Tribunal desse ciência da irregularidade ao Governo do Estado do Mato Grosso do sul, sem prejuízo de que fosse promovida a audiência do servidor responsável pelo fato, no que contou com a anuência do Plenário</w:t>
      </w:r>
      <w:r w:rsidRPr="00A65BBC">
        <w:rPr>
          <w:rFonts w:ascii="Arial" w:eastAsia="Times New Roman" w:hAnsi="Arial" w:cs="Arial"/>
          <w:snapToGrid w:val="0"/>
          <w:sz w:val="28"/>
        </w:rPr>
        <w:t xml:space="preserve">. </w:t>
      </w:r>
      <w:r w:rsidRPr="00A65BBC">
        <w:rPr>
          <w:rFonts w:ascii="Arial" w:eastAsia="Times New Roman" w:hAnsi="Arial" w:cs="Arial"/>
          <w:b/>
          <w:i/>
          <w:sz w:val="24"/>
        </w:rPr>
        <w:t>Acórdão n.º 1898/2011-Plenário, TC-011.782/2011-0, rel. Min. Raimundo Carreiro, 20.07.2011.</w:t>
      </w:r>
    </w:p>
    <w:p w:rsidR="00A65BBC" w:rsidRPr="00A65BBC" w:rsidRDefault="00A65BBC" w:rsidP="0068243F">
      <w:pPr>
        <w:tabs>
          <w:tab w:val="left" w:pos="1134"/>
        </w:tabs>
        <w:spacing w:after="0" w:line="360" w:lineRule="auto"/>
        <w:jc w:val="both"/>
        <w:rPr>
          <w:rFonts w:ascii="Arial" w:eastAsia="Calibri" w:hAnsi="Arial" w:cs="Arial"/>
          <w:b/>
          <w:color w:val="FF0000"/>
          <w:sz w:val="24"/>
        </w:rPr>
      </w:pPr>
    </w:p>
    <w:p w:rsidR="00A65BBC" w:rsidRPr="00A65BBC" w:rsidRDefault="00A65BBC" w:rsidP="0068243F">
      <w:pPr>
        <w:tabs>
          <w:tab w:val="left" w:pos="709"/>
        </w:tabs>
        <w:spacing w:after="0" w:line="360" w:lineRule="auto"/>
        <w:jc w:val="both"/>
        <w:rPr>
          <w:rFonts w:ascii="Arial" w:eastAsia="Calibri" w:hAnsi="Arial" w:cs="Arial"/>
          <w:b/>
          <w:color w:val="FF0000"/>
          <w:sz w:val="28"/>
        </w:rPr>
      </w:pPr>
      <w:r w:rsidRPr="00A65BBC">
        <w:rPr>
          <w:rFonts w:ascii="Arial" w:eastAsia="Calibri" w:hAnsi="Arial" w:cs="Arial"/>
          <w:b/>
          <w:snapToGrid w:val="0"/>
          <w:sz w:val="28"/>
          <w:szCs w:val="24"/>
        </w:rPr>
        <w:t xml:space="preserve">Licitação de obra pública: 2 – É possível a apresentação de </w:t>
      </w:r>
      <w:r w:rsidRPr="00A65BBC">
        <w:rPr>
          <w:rFonts w:ascii="Arial" w:eastAsia="Calibri" w:hAnsi="Arial" w:cs="Arial"/>
          <w:b/>
          <w:snapToGrid w:val="0"/>
          <w:sz w:val="28"/>
        </w:rPr>
        <w:t>contratos de prestação de serviço, para o fim de comprovação de vínculo profissional dos responsáveis técnicos com empresa participante da licitação</w:t>
      </w:r>
    </w:p>
    <w:p w:rsidR="00A65BBC" w:rsidRPr="00A65BBC" w:rsidRDefault="00A65BBC" w:rsidP="0068243F">
      <w:pPr>
        <w:spacing w:after="0" w:line="360" w:lineRule="auto"/>
        <w:jc w:val="both"/>
        <w:rPr>
          <w:rFonts w:ascii="Arial" w:eastAsia="Times New Roman" w:hAnsi="Arial" w:cs="Arial"/>
          <w:b/>
          <w:i/>
          <w:sz w:val="24"/>
        </w:rPr>
      </w:pPr>
      <w:r w:rsidRPr="00A65BBC">
        <w:rPr>
          <w:rFonts w:ascii="Arial" w:eastAsia="Times New Roman" w:hAnsi="Arial" w:cs="Arial"/>
          <w:sz w:val="24"/>
        </w:rPr>
        <w:t xml:space="preserve">Ainda na auditoria realizada no Departamento Penitenciário Nacional – (Depen), na Caixa Econômica Federal – (CEF) e no Governo do Estado do Mato Grosso do Sul, com o objetivo verificar a conformidade da aplicação de recursos federais em obras públicas de reforma e ampliação do estabelecimento penal masculino de Corumbá/MS, outra irregularidade percebida pelo Tribunal fora </w:t>
      </w:r>
      <w:r w:rsidRPr="00A65BBC">
        <w:rPr>
          <w:rFonts w:ascii="Arial" w:eastAsia="Times New Roman" w:hAnsi="Arial" w:cs="Arial"/>
          <w:snapToGrid w:val="0"/>
          <w:sz w:val="24"/>
        </w:rPr>
        <w:t>a não aceitação de contratos de prestação de serviço, para a comprovação de vínculo profissional dos responsáveis técnicos. A esse respeito a unidade técnica apontou que tal fato poderia acabar por restringir o acesso de interessados ao certame, já que muitas empresas manteriam vínculo com seus profissionais de nível superior justamente por meio de contratos de prestação de serviços. Não seria plausível a restrição, portanto, pois o importante seria que “</w:t>
      </w:r>
      <w:r w:rsidRPr="00A65BBC">
        <w:rPr>
          <w:rFonts w:ascii="Arial" w:eastAsia="Times New Roman" w:hAnsi="Arial" w:cs="Arial"/>
          <w:i/>
          <w:snapToGrid w:val="0"/>
          <w:sz w:val="24"/>
        </w:rPr>
        <w:t>o profissional esteja em condições de desempenhar seus trabalhos de forma efetiva no momento da execução contratual. Sendo assim, o contrato de prestação de serviços regido pela legislação civil comum se revela suficiente para a Administração Pública</w:t>
      </w:r>
      <w:r w:rsidRPr="00A65BBC">
        <w:rPr>
          <w:rFonts w:ascii="Arial" w:eastAsia="Times New Roman" w:hAnsi="Arial" w:cs="Arial"/>
          <w:snapToGrid w:val="0"/>
          <w:sz w:val="24"/>
        </w:rPr>
        <w:t>”. Ao acolher as considerações, o relator votou por que o Tribunal desse ciência da irregularidade ao Governo do Estado do Mato Grosso do sul, sem prejuízo de que fosse promovida a audiência do servidor responsável pelo fato, o que foi aprovado pelo Plenário. Precedentes citados: Acórdãos n</w:t>
      </w:r>
      <w:r w:rsidRPr="00A65BBC">
        <w:rPr>
          <w:rFonts w:ascii="Arial" w:eastAsia="Times New Roman" w:hAnsi="Arial" w:cs="Arial"/>
          <w:snapToGrid w:val="0"/>
          <w:sz w:val="24"/>
          <w:u w:val="single"/>
          <w:vertAlign w:val="superscript"/>
        </w:rPr>
        <w:t>os</w:t>
      </w:r>
      <w:r w:rsidRPr="00A65BBC">
        <w:rPr>
          <w:rFonts w:ascii="Arial" w:eastAsia="Times New Roman" w:hAnsi="Arial" w:cs="Arial"/>
          <w:snapToGrid w:val="0"/>
          <w:sz w:val="24"/>
        </w:rPr>
        <w:t xml:space="preserve"> 381/2009 e 73/2010, do Plenário. </w:t>
      </w:r>
      <w:r w:rsidRPr="00A65BBC">
        <w:rPr>
          <w:rFonts w:ascii="Arial" w:eastAsia="Times New Roman" w:hAnsi="Arial" w:cs="Arial"/>
          <w:b/>
          <w:i/>
          <w:sz w:val="24"/>
        </w:rPr>
        <w:t>Acórdão n.º 1898/2011-Plenário, TC-011.782/2011-0, rel. Min. Raimundo Carreiro, 20.07.2011.</w:t>
      </w:r>
    </w:p>
    <w:p w:rsidR="00A65BBC" w:rsidRPr="00A65BBC" w:rsidRDefault="00A65BBC" w:rsidP="0068243F">
      <w:pPr>
        <w:spacing w:before="120" w:after="240" w:line="360" w:lineRule="auto"/>
        <w:jc w:val="both"/>
        <w:rPr>
          <w:rFonts w:ascii="Arial" w:eastAsia="Calibri" w:hAnsi="Arial" w:cs="Arial"/>
          <w:bCs/>
          <w:iCs/>
          <w:sz w:val="24"/>
        </w:rPr>
      </w:pPr>
    </w:p>
    <w:p w:rsidR="001915FA" w:rsidRPr="001915FA" w:rsidRDefault="001915FA" w:rsidP="0068243F">
      <w:pPr>
        <w:spacing w:before="120" w:after="240" w:line="360" w:lineRule="auto"/>
        <w:jc w:val="both"/>
        <w:rPr>
          <w:rFonts w:ascii="Arial" w:eastAsia="Calibri" w:hAnsi="Arial" w:cs="Arial"/>
          <w:bCs/>
          <w:iCs/>
          <w:sz w:val="32"/>
        </w:rPr>
      </w:pPr>
    </w:p>
    <w:p w:rsidR="0064492A" w:rsidRDefault="00915F9A" w:rsidP="0068243F">
      <w:pPr>
        <w:spacing w:before="120" w:after="240" w:line="360" w:lineRule="auto"/>
        <w:jc w:val="center"/>
        <w:rPr>
          <w:rFonts w:ascii="Arial" w:eastAsia="Calibri" w:hAnsi="Arial" w:cs="Arial"/>
          <w:b/>
          <w:sz w:val="32"/>
        </w:rPr>
      </w:pPr>
      <w:r>
        <w:rPr>
          <w:rFonts w:ascii="Arial" w:eastAsia="Calibri" w:hAnsi="Arial" w:cs="Arial"/>
          <w:b/>
          <w:sz w:val="32"/>
        </w:rPr>
        <w:t>73.</w:t>
      </w:r>
    </w:p>
    <w:p w:rsidR="00915F9A" w:rsidRDefault="00915F9A" w:rsidP="0068243F">
      <w:pPr>
        <w:spacing w:before="120" w:after="240" w:line="360" w:lineRule="auto"/>
        <w:jc w:val="center"/>
        <w:rPr>
          <w:rFonts w:ascii="Arial" w:eastAsia="Calibri" w:hAnsi="Arial" w:cs="Arial"/>
          <w:b/>
          <w:sz w:val="32"/>
        </w:rPr>
      </w:pPr>
    </w:p>
    <w:p w:rsidR="00915F9A" w:rsidRPr="00915F9A" w:rsidRDefault="00915F9A" w:rsidP="0068243F">
      <w:pPr>
        <w:pStyle w:val="Recuodecorpodetexto"/>
        <w:tabs>
          <w:tab w:val="left" w:pos="-851"/>
        </w:tabs>
        <w:spacing w:line="360" w:lineRule="auto"/>
        <w:ind w:firstLine="0"/>
        <w:jc w:val="both"/>
        <w:rPr>
          <w:rFonts w:ascii="Arial" w:hAnsi="Arial" w:cs="Arial"/>
          <w:b/>
          <w:sz w:val="28"/>
          <w:szCs w:val="24"/>
        </w:rPr>
      </w:pPr>
      <w:r w:rsidRPr="00915F9A">
        <w:rPr>
          <w:rFonts w:ascii="Arial" w:hAnsi="Arial" w:cs="Arial"/>
          <w:b/>
          <w:sz w:val="28"/>
          <w:szCs w:val="24"/>
        </w:rPr>
        <w:t>Concorrência pública para a contratação de serviços e fornecimento de materiais: 1 - A exigência de número mínimo de atestados de capacidade técnica em processo licitatório é inadmissível, a não ser que a especificidade do objeto o recomende, ocasião em que os motivos de fato e de direito deverão estar devidamente explicitados no processo administrativo do certame</w:t>
      </w:r>
    </w:p>
    <w:p w:rsidR="00915F9A" w:rsidRPr="00915F9A" w:rsidRDefault="00915F9A" w:rsidP="0068243F">
      <w:pPr>
        <w:pStyle w:val="Recuodecorpodetexto"/>
        <w:tabs>
          <w:tab w:val="left" w:pos="-851"/>
        </w:tabs>
        <w:spacing w:line="360" w:lineRule="auto"/>
        <w:ind w:firstLine="0"/>
        <w:jc w:val="both"/>
        <w:rPr>
          <w:rFonts w:ascii="Arial" w:hAnsi="Arial" w:cs="Arial"/>
          <w:b/>
          <w:i/>
          <w:szCs w:val="24"/>
        </w:rPr>
      </w:pPr>
      <w:r w:rsidRPr="00915F9A">
        <w:rPr>
          <w:rFonts w:ascii="Arial" w:hAnsi="Arial" w:cs="Arial"/>
          <w:szCs w:val="24"/>
        </w:rPr>
        <w:t>Representação noticiou ao Tribunal possíveis irregularidades no edital da Concorrência nº 002/2011, realizada pelo Serviço Nacional de Aprendizagem Comercial – (Senac-DR/ES), e cujo objeto consistiu na contratação de empresa para prestação de serviços e fornecimento de todo o material para a reforma e ampliação dos Blocos A, B e C do prédio localizado na cidade de Vitória – ES. Dentre tais irregularidades, constou a exigência de apresentação de, no mínimo, dois atestados da capacidade por parte das empresas participantes da licitação, para o fim de comprovação de requisito de qualificação técnica, na fase de habilitação do certame. Para a unidade técnica, no caso concreto, “</w:t>
      </w:r>
      <w:r w:rsidRPr="00915F9A">
        <w:rPr>
          <w:rFonts w:ascii="Arial" w:hAnsi="Arial" w:cs="Arial"/>
          <w:i/>
          <w:szCs w:val="24"/>
        </w:rPr>
        <w:t>não foi justificada a necessidade da apresentação de 2 (dois) atestados, não tendo sido demonstrado no que isso contribuiria para uma melhor execução do objeto contratual, razão por que essa exigência deve ser considerada restritiva</w:t>
      </w:r>
      <w:r w:rsidRPr="00915F9A">
        <w:rPr>
          <w:rFonts w:ascii="Arial" w:hAnsi="Arial" w:cs="Arial"/>
          <w:szCs w:val="24"/>
        </w:rPr>
        <w:t>”. A exigência de mais de um atestado de capacidade técnica, ainda para a unidade instrutiva, só seria admissível caso fosse necessário à garantia da execução do contrato, à segurança e perfeição da obra ou do serviço, à regularidade do fornecimento ou ao atendimento de qualquer outro interesse público, o que não restara demonstrado. Nesse contexto, citando jurisprudência anterior do TCU, o relator destacou que “</w:t>
      </w:r>
      <w:r w:rsidRPr="00915F9A">
        <w:rPr>
          <w:rFonts w:ascii="Arial" w:hAnsi="Arial" w:cs="Arial"/>
          <w:i/>
          <w:szCs w:val="24"/>
        </w:rPr>
        <w:t>o estabelecimento de uma quantidade mínima e/ou certa de atestados fere o preceito constitucional da isonomia porque desiguala injustamente concorrentes que apresentam as mesmas condições de qualificação técnica. Como dizer que um licitante detentor de um atestado de aptidão é menos capaz do que o licitante que dispõe de dois? Ora, a capacidade técnica de realizar o objeto existe, independentemente do número de vezes que tenha sido exercitada, ou não existe. Garantida a capacitação por meio de um atestado, não vejo como a Administração exigir algo a mais sem exorbitar as limitações constitucionais</w:t>
      </w:r>
      <w:r w:rsidRPr="00915F9A">
        <w:rPr>
          <w:rFonts w:ascii="Arial" w:hAnsi="Arial" w:cs="Arial"/>
          <w:szCs w:val="24"/>
        </w:rPr>
        <w:t>”. Por conseguinte, o relator, ao concordar com a unidade técnica, votou, e o Plenário aprovou, por que o Tribunal determinasse ao Senac-DR/ES que se abstivesse de estabelecer número mínimo de atestados de capacidade técnica, “</w:t>
      </w:r>
      <w:r w:rsidRPr="00915F9A">
        <w:rPr>
          <w:rFonts w:ascii="Arial" w:hAnsi="Arial" w:cs="Arial"/>
          <w:i/>
          <w:szCs w:val="24"/>
        </w:rPr>
        <w:t>a não ser que a especificidade do objeto o recomende, situação em que os motivos de fato e de direito deverão estar devidamente explicitados no processo administrativo da licitação</w:t>
      </w:r>
      <w:r w:rsidRPr="00915F9A">
        <w:rPr>
          <w:rFonts w:ascii="Arial" w:hAnsi="Arial" w:cs="Arial"/>
          <w:szCs w:val="24"/>
        </w:rPr>
        <w:t>”. Votou o relator, ainda, pela fixação de prazo para que o Senac-DR/ES adotasse as devidas medidas, com vistas à anulação do certame, o que também foi aprovado pelos demais membros do Plenário. Precedentes citados: Acórdãos n</w:t>
      </w:r>
      <w:r w:rsidRPr="00915F9A">
        <w:rPr>
          <w:rFonts w:ascii="Arial" w:hAnsi="Arial" w:cs="Arial"/>
          <w:szCs w:val="24"/>
          <w:u w:val="single"/>
          <w:vertAlign w:val="superscript"/>
        </w:rPr>
        <w:t>os</w:t>
      </w:r>
      <w:r w:rsidRPr="00915F9A">
        <w:rPr>
          <w:rFonts w:ascii="Arial" w:hAnsi="Arial" w:cs="Arial"/>
          <w:szCs w:val="24"/>
        </w:rPr>
        <w:t xml:space="preserve"> 3157/2004, da 1ª Câmara e 124/2002, 1937/2003, 1341/2006, 2143/2007, 1.557/2009 e 534/2011, todos do Plenário. </w:t>
      </w:r>
      <w:r w:rsidRPr="00915F9A">
        <w:rPr>
          <w:rFonts w:ascii="Arial" w:hAnsi="Arial" w:cs="Arial"/>
          <w:b/>
          <w:i/>
          <w:szCs w:val="24"/>
        </w:rPr>
        <w:t>Acórdão n.º 1948/2011-Plenário, TC-005.929/2011-3, rel. Min.-Subst. Marcos Bemquerer Costa, 27.07.2011.</w:t>
      </w:r>
    </w:p>
    <w:p w:rsidR="00915F9A" w:rsidRDefault="00915F9A" w:rsidP="0068243F">
      <w:pPr>
        <w:spacing w:before="120" w:after="120" w:line="360" w:lineRule="auto"/>
        <w:rPr>
          <w:rFonts w:ascii="Arial" w:eastAsia="Calibri" w:hAnsi="Arial" w:cs="Arial"/>
          <w:b/>
          <w:sz w:val="32"/>
        </w:rPr>
      </w:pPr>
    </w:p>
    <w:p w:rsidR="00915F9A" w:rsidRPr="00915F9A" w:rsidRDefault="00915F9A" w:rsidP="0068243F">
      <w:pPr>
        <w:spacing w:before="120" w:after="120" w:line="360" w:lineRule="auto"/>
        <w:jc w:val="both"/>
        <w:rPr>
          <w:rFonts w:ascii="Arial" w:eastAsia="Calibri" w:hAnsi="Arial" w:cs="Arial"/>
          <w:b/>
          <w:sz w:val="28"/>
        </w:rPr>
      </w:pPr>
      <w:r w:rsidRPr="00915F9A">
        <w:rPr>
          <w:rFonts w:ascii="Arial" w:eastAsia="Calibri" w:hAnsi="Arial" w:cs="Arial"/>
          <w:b/>
          <w:sz w:val="28"/>
        </w:rPr>
        <w:t>Concorrência pública para a contratação de serviços e fornecimento de materiais: 3 - Em se tratando de regime de empreitada por preço global, é necessária a disponibilização por parte da instituição contratante de cronograma físico-financeiro detalhado, no qual estejam definidas as etapas/fases da obra a executar e os serviços/atividades que as compõem</w:t>
      </w:r>
    </w:p>
    <w:p w:rsidR="00915F9A" w:rsidRPr="00915F9A" w:rsidRDefault="00915F9A" w:rsidP="0068243F">
      <w:pPr>
        <w:spacing w:before="120" w:after="120" w:line="360" w:lineRule="auto"/>
        <w:jc w:val="both"/>
        <w:rPr>
          <w:rFonts w:ascii="Arial" w:eastAsia="Calibri" w:hAnsi="Arial" w:cs="Arial"/>
          <w:sz w:val="24"/>
        </w:rPr>
      </w:pPr>
      <w:r w:rsidRPr="00915F9A">
        <w:rPr>
          <w:rFonts w:ascii="Arial" w:eastAsia="Times New Roman" w:hAnsi="Arial" w:cs="Arial"/>
          <w:sz w:val="24"/>
          <w:szCs w:val="24"/>
          <w:lang w:eastAsia="pt-BR"/>
        </w:rPr>
        <w:t>Na mesma representação que noticiou ao Tribunal possíveis irregularidades no edital da Concorrência nº 002/2011, realizada pelo Serviço Nacional de Aprendizagem Comercial – (Senac-DR/ES), analisou-se a não elaboração prévia do cronograma físico-financeiro, transferindo-se a responsabilidade por sua confecção à proponente, que deveria apresentá-lo por ocasião da proposta comercial. Nos argumentos apresentados a partir de sua oitiva, o Senac-DR/ES entendeu não haver qualquer irregularidade na situação, com a ausência de prévia elaboração do cronograma físico-financeiro, pois “qualquer pagamento somente será autorizado a partir das medições realizadas pela fiscalização da obra”, tal qual estabelecido em cláusulas constantes do instrumento convocatório do certame, bem como no contrato consequencial. Todavia, a unidade técnica discordou do afirmado, pois, para ela, o cronograma físico-financeiro “se presta a refletir o ritmo com que a Administração pretende ver desenvolvida a obra, consideradas suas especificidades e de acordo com as disponibilidades orçamentárias e financeiras existentes, servindo de norte para a formulação das propostas pelos licitantes”. Assim, as previsões editalícias e contratuais não supririam a elaboração do documento por parte do Senac-DR/ES, sendo que a ausência de disponibilização do cronograma, o que deveria ocorrer já no momento da publicação da licitação, em anexo próprio, “permite que as propostas apresentadas destoem da realidade orçamentário-financeira da entidade, o que pode vir a gerar eventuais desequilíbrios contratuais. E mais: ao deixar a cargo das proponentes a sua elaboração, fere o princípio da isonomia, pois o montante a ser auferido e o momento da percepção desse valor tem inequívoca repercussão nos preços ofertados (a mensuração do quanto e do quando receber impacta na proposta)”. Para o relator, assistiria razão à unidade técnica, considerando-se, ainda, precedente da jurisprudência do Tribunal. Para ele, “o cronograma físico-financeiro impacta diretamente na definição dos custos da obra, estando intrinsecamente ligado ao respectivo projeto básico. Por essa razão, trata-se de item que, em situações como a que se examina – na qual foi adotado o regime de execução de empreitada por preço global – deve ser elaborado previamente à licitação, não podendo ficar exclusivamente a cargo dos proponentes”. Votou, em consequência, pela fixação de prazo para que a entidade adotasse as devidas medidas, com vistas à anulação do certame, sem prejuízo de propor que fosse determinado ao Senac-DR/ES que, em suas futuras licitações, elaborasse, em se tratando de regime de empreitada por preço global, cronograma físico-financeiro detalhado, no qual estejam definidas as etapas/fases da obra a executar e os serviços/atividades que as compõem, e utilize esse instrumento para controle da execução dos serviços e apuração da remuneração devida ao contratado, o que foi aprovado pelos demais membros do Plenário. Precedente citado: Acórdão no 534/2010, do Plenário.</w:t>
      </w:r>
      <w:r w:rsidRPr="00915F9A">
        <w:rPr>
          <w:rFonts w:ascii="Arial" w:eastAsia="Calibri" w:hAnsi="Arial" w:cs="Arial"/>
          <w:sz w:val="24"/>
        </w:rPr>
        <w:t xml:space="preserve"> </w:t>
      </w:r>
      <w:r w:rsidRPr="00915F9A">
        <w:rPr>
          <w:rFonts w:ascii="Arial" w:eastAsia="Calibri" w:hAnsi="Arial" w:cs="Arial"/>
          <w:b/>
          <w:i/>
          <w:sz w:val="24"/>
        </w:rPr>
        <w:t>Acórdão n.º 1948/2011-Plenário, TC-005.929/2011-3, rel. Min.-Subst. Marcos Bemquerer Costa, 27.07.2011.</w:t>
      </w:r>
    </w:p>
    <w:p w:rsidR="00915F9A" w:rsidRDefault="00915F9A" w:rsidP="0068243F">
      <w:pPr>
        <w:spacing w:before="120" w:after="240" w:line="360" w:lineRule="auto"/>
        <w:rPr>
          <w:rFonts w:ascii="Arial" w:eastAsia="Calibri" w:hAnsi="Arial" w:cs="Arial"/>
          <w:b/>
          <w:sz w:val="32"/>
        </w:rPr>
      </w:pPr>
    </w:p>
    <w:p w:rsidR="00915F9A" w:rsidRDefault="005D0CC5" w:rsidP="0068243F">
      <w:pPr>
        <w:spacing w:before="120" w:after="240" w:line="360" w:lineRule="auto"/>
        <w:jc w:val="center"/>
        <w:rPr>
          <w:rFonts w:ascii="Arial" w:eastAsia="Calibri" w:hAnsi="Arial" w:cs="Arial"/>
          <w:b/>
          <w:sz w:val="32"/>
        </w:rPr>
      </w:pPr>
      <w:r>
        <w:rPr>
          <w:rFonts w:ascii="Arial" w:eastAsia="Calibri" w:hAnsi="Arial" w:cs="Arial"/>
          <w:b/>
          <w:sz w:val="32"/>
        </w:rPr>
        <w:t>74.</w:t>
      </w:r>
    </w:p>
    <w:p w:rsidR="005D0CC5" w:rsidRDefault="005D0CC5" w:rsidP="0068243F">
      <w:pPr>
        <w:spacing w:before="120" w:after="240" w:line="360" w:lineRule="auto"/>
        <w:jc w:val="center"/>
        <w:rPr>
          <w:rFonts w:ascii="Arial" w:eastAsia="Calibri" w:hAnsi="Arial" w:cs="Arial"/>
          <w:b/>
          <w:sz w:val="32"/>
        </w:rPr>
      </w:pPr>
    </w:p>
    <w:p w:rsidR="005D0CC5" w:rsidRPr="005D0CC5" w:rsidRDefault="005D0CC5" w:rsidP="0068243F">
      <w:pPr>
        <w:spacing w:before="120" w:after="240" w:line="360" w:lineRule="auto"/>
        <w:jc w:val="both"/>
        <w:rPr>
          <w:rFonts w:ascii="Arial" w:eastAsia="Calibri" w:hAnsi="Arial" w:cs="Arial"/>
          <w:b/>
          <w:sz w:val="24"/>
        </w:rPr>
      </w:pPr>
      <w:r w:rsidRPr="005D0CC5">
        <w:rPr>
          <w:rFonts w:ascii="Arial" w:eastAsia="Calibri" w:hAnsi="Arial" w:cs="Arial"/>
          <w:b/>
          <w:sz w:val="24"/>
        </w:rPr>
        <w:t xml:space="preserve">Licitação para contratação de bens e serviços: 1 – Em licitações sob a modalidade convite é irregular a participação de empresas com sócios em comum </w:t>
      </w:r>
    </w:p>
    <w:p w:rsidR="005D0CC5" w:rsidRPr="005D0CC5" w:rsidRDefault="005D0CC5" w:rsidP="0068243F">
      <w:pPr>
        <w:spacing w:before="120" w:after="240" w:line="360" w:lineRule="auto"/>
        <w:jc w:val="both"/>
        <w:rPr>
          <w:rFonts w:ascii="Arial" w:eastAsia="Calibri" w:hAnsi="Arial" w:cs="Arial"/>
          <w:b/>
          <w:i/>
          <w:sz w:val="24"/>
        </w:rPr>
      </w:pPr>
      <w:r w:rsidRPr="005D0CC5">
        <w:rPr>
          <w:rFonts w:ascii="Arial" w:eastAsia="Calibri" w:hAnsi="Arial" w:cs="Arial"/>
          <w:sz w:val="24"/>
        </w:rPr>
        <w:t xml:space="preserve">A partir de tomadas de contas anuais do Terceiro Centro Integrado de Defesa Aérea e Controle de Tráfego - (Cindacta III), referentes aos exercícios de 2003 e 2004, julgadas anteriormente regulares e regulares com ressalva, respectivamente, o TCU analisou </w:t>
      </w:r>
      <w:bookmarkStart w:id="6" w:name="Hit10"/>
      <w:r w:rsidRPr="005D0CC5">
        <w:rPr>
          <w:rFonts w:ascii="Arial" w:eastAsia="Calibri" w:hAnsi="Arial" w:cs="Arial"/>
          <w:sz w:val="24"/>
        </w:rPr>
        <w:t>recursos de revisão</w:t>
      </w:r>
      <w:bookmarkEnd w:id="6"/>
      <w:r w:rsidRPr="005D0CC5">
        <w:rPr>
          <w:rFonts w:ascii="Arial" w:eastAsia="Calibri" w:hAnsi="Arial" w:cs="Arial"/>
          <w:sz w:val="24"/>
        </w:rPr>
        <w:t xml:space="preserve"> interpostos pelo Ministério Público junto ao Tribunal – (MP/TCU) contra as deliberações antecedentes, tendo em vista fatos apontados em processo originário de representação formulada pelo Departamento de Polícia Federal. Nesse quadro, foram consideradas lesivas à ordem jurídica a adjudicação e a homologação de certames licitatórios, na modalidade convite, para a prestação de serviços ou para a aquisição de bens por parte do Cindacta III, com menos de três propostas de preços válidas e independentes entre si. A ausência de independência das propostas, no ponto de vista do relator, seria perceptível, ante a imbricada rede de relacionamentos, inclusive de parentescos familiares, entre representantes legais de empresas participantes de licitações realizadas pelo Cindacta III, sob a modalidade convite. A esse respeito, o relator consignou em seu voto a ocorrência de, senão má-fé, no mínimo grave omissão e falta de zelo por parte dos gestores responsáveis pelas contratações. Anotou, ainda, com base em decisões anteriores do Tribunal, entendimento no sentido de considerar</w:t>
      </w:r>
      <w:r w:rsidRPr="005D0CC5">
        <w:rPr>
          <w:rFonts w:ascii="Arial" w:eastAsia="Calibri" w:hAnsi="Arial" w:cs="Arial"/>
          <w:i/>
          <w:sz w:val="24"/>
        </w:rPr>
        <w:t xml:space="preserve"> “irregular a participação de empresas com sócios em comum quando da realização de convites”.</w:t>
      </w:r>
      <w:r w:rsidRPr="005D0CC5">
        <w:rPr>
          <w:rFonts w:ascii="Arial" w:eastAsia="Calibri" w:hAnsi="Arial" w:cs="Arial"/>
          <w:sz w:val="24"/>
        </w:rPr>
        <w:t xml:space="preserve"> Por conseguinte, votou pelo provimento dos recursos de revisão intentados, e, no ponto, pela rejeição das justificativas apresentadas pelos responsáveis envolvidos, levando o fato em consideração para votar, ainda, pela irregularidade das contas correspondentes, sem prejuízo da aplicação de multa, o que foi aprovado pelo Plenário. Precedentes citados: Acórdãos n</w:t>
      </w:r>
      <w:r w:rsidRPr="005D0CC5">
        <w:rPr>
          <w:rFonts w:ascii="Arial" w:eastAsia="Calibri" w:hAnsi="Arial" w:cs="Arial"/>
          <w:sz w:val="24"/>
          <w:u w:val="single"/>
          <w:vertAlign w:val="superscript"/>
        </w:rPr>
        <w:t>os</w:t>
      </w:r>
      <w:r w:rsidRPr="005D0CC5">
        <w:rPr>
          <w:rFonts w:ascii="Arial" w:eastAsia="Calibri" w:hAnsi="Arial" w:cs="Arial"/>
          <w:sz w:val="24"/>
        </w:rPr>
        <w:t xml:space="preserve"> 161/1998 – 1ª Câmara e 297/2009 e 1.793/2009, ambos do Plenário. </w:t>
      </w:r>
      <w:r w:rsidRPr="005D0CC5">
        <w:rPr>
          <w:rFonts w:ascii="Arial" w:eastAsia="Calibri" w:hAnsi="Arial" w:cs="Arial"/>
          <w:b/>
          <w:i/>
          <w:sz w:val="24"/>
        </w:rPr>
        <w:t>Acórdão n.º 2003/2011-Plenário, TC-008.284/2005-9, rel. Min. Augusto Nardes, 03.08.2011.</w:t>
      </w:r>
    </w:p>
    <w:p w:rsidR="005D0CC5" w:rsidRPr="005D0CC5" w:rsidRDefault="005D0CC5" w:rsidP="0068243F">
      <w:pPr>
        <w:spacing w:before="120" w:after="240" w:line="360" w:lineRule="auto"/>
        <w:jc w:val="both"/>
        <w:rPr>
          <w:rFonts w:ascii="Arial" w:eastAsia="Calibri" w:hAnsi="Arial" w:cs="Arial"/>
          <w:b/>
          <w:bCs/>
          <w:sz w:val="24"/>
        </w:rPr>
      </w:pPr>
    </w:p>
    <w:p w:rsidR="005D0CC5" w:rsidRPr="005D0CC5" w:rsidRDefault="005D0CC5" w:rsidP="0068243F">
      <w:pPr>
        <w:spacing w:before="120" w:after="240" w:line="360" w:lineRule="auto"/>
        <w:jc w:val="both"/>
        <w:rPr>
          <w:rFonts w:ascii="Arial" w:eastAsia="Calibri" w:hAnsi="Arial" w:cs="Arial"/>
          <w:b/>
          <w:sz w:val="24"/>
        </w:rPr>
      </w:pPr>
      <w:r w:rsidRPr="005D0CC5">
        <w:rPr>
          <w:rFonts w:ascii="Arial" w:eastAsia="Calibri" w:hAnsi="Arial" w:cs="Arial"/>
          <w:b/>
          <w:sz w:val="24"/>
        </w:rPr>
        <w:t>Licitação para contratação de bens e serviços: 2 – As exigências para o fim de habilitação devem ser compatíveis com o objeto da licitação, evitando-se o formalismo desnecessário</w:t>
      </w:r>
    </w:p>
    <w:p w:rsidR="005D0CC5" w:rsidRPr="005D0CC5" w:rsidRDefault="005D0CC5" w:rsidP="0068243F">
      <w:pPr>
        <w:spacing w:before="120" w:after="240" w:line="360" w:lineRule="auto"/>
        <w:jc w:val="both"/>
        <w:rPr>
          <w:rFonts w:ascii="Arial" w:eastAsia="Calibri" w:hAnsi="Arial" w:cs="Arial"/>
          <w:b/>
          <w:i/>
          <w:sz w:val="24"/>
        </w:rPr>
      </w:pPr>
      <w:r w:rsidRPr="005D0CC5">
        <w:rPr>
          <w:rFonts w:ascii="Arial" w:eastAsia="Calibri" w:hAnsi="Arial" w:cs="Arial"/>
          <w:sz w:val="24"/>
        </w:rPr>
        <w:t>Ainda nas tomadas de contas anuais do Terceiro Centro Integrado de Defesa Aérea e Controle de Tráfego - (Cindacta III), referentes aos exercícios de 2003 e 2004, julgadas pelo TCU, respectivamente, regulares e regulares com ressalva, outra irregularidade apurada foi a inabilitação de uma empresa em uma licitação por não ter acrescido à declaração exigida pelo inciso V do artigo 27 da Lei 8.666/1993 a expressão “exceto na condição de menor aprendiz”. Ao examinar o assunto, a unidade técnica considerou que a inabilitação, pela razão apontada, denotaria excesso de rigor formal, pois a declaração da empresa eliminada afirmava não haver menores trabalhando em seus quadros</w:t>
      </w:r>
      <w:r w:rsidRPr="005D0CC5">
        <w:rPr>
          <w:rFonts w:ascii="Arial" w:eastAsia="Calibri" w:hAnsi="Arial" w:cs="Arial"/>
          <w:i/>
          <w:sz w:val="24"/>
        </w:rPr>
        <w:t>.</w:t>
      </w:r>
      <w:r w:rsidRPr="005D0CC5">
        <w:rPr>
          <w:rFonts w:ascii="Arial" w:eastAsia="Calibri" w:hAnsi="Arial" w:cs="Arial"/>
          <w:sz w:val="24"/>
        </w:rPr>
        <w:t xml:space="preserve"> Assim, ainda para a unidade responsável pelo processo,</w:t>
      </w:r>
      <w:r w:rsidRPr="005D0CC5">
        <w:rPr>
          <w:rFonts w:ascii="Arial" w:eastAsia="Calibri" w:hAnsi="Arial" w:cs="Arial"/>
          <w:i/>
          <w:sz w:val="24"/>
        </w:rPr>
        <w:t xml:space="preserve"> “a partir dessa declaração, o gestor público somente poderia concluir pela inexistência de menores aprendizes. Afinal, menores aprendizes são menores. E como havia sido informada a inexistência de menores trabalhando, não era razoável se depreender que a empresa empregasse menores aprendizes”</w:t>
      </w:r>
      <w:r w:rsidRPr="005D0CC5">
        <w:rPr>
          <w:rFonts w:ascii="Arial" w:eastAsia="Calibri" w:hAnsi="Arial" w:cs="Arial"/>
          <w:sz w:val="24"/>
        </w:rPr>
        <w:t>. Caberia, no máximo, por parte da instituição promotora da licitação</w:t>
      </w:r>
      <w:r w:rsidRPr="005D0CC5">
        <w:rPr>
          <w:rFonts w:ascii="Arial" w:eastAsia="Calibri" w:hAnsi="Arial" w:cs="Arial"/>
          <w:i/>
          <w:sz w:val="24"/>
        </w:rPr>
        <w:t xml:space="preserve"> “promover diligência destinada a esclarecer a questão, indagando da empresa a utilização ou não de menores aprendizes”, </w:t>
      </w:r>
      <w:r w:rsidRPr="005D0CC5">
        <w:rPr>
          <w:rFonts w:ascii="Arial" w:eastAsia="Calibri" w:hAnsi="Arial" w:cs="Arial"/>
          <w:sz w:val="24"/>
        </w:rPr>
        <w:t>o que não configuraria irregularidade, qualquer que fosse a resposta obtida. Por conseguinte, votou pelo provimento dos recursos de revisão intentados, e, no ponto, pela rejeição das justificativas apresentadas pelos responsáveis envolvidos, levando o fato em consideração para votar, ainda, pela irregularidade das contas correspondentes, sem prejuízo de aplicação de multa, o que foi aprovado pelo Plenário. Precedente citado: Acórdão n</w:t>
      </w:r>
      <w:r w:rsidRPr="005D0CC5">
        <w:rPr>
          <w:rFonts w:ascii="Arial" w:eastAsia="Calibri" w:hAnsi="Arial" w:cs="Arial"/>
          <w:sz w:val="24"/>
          <w:u w:val="single"/>
          <w:vertAlign w:val="superscript"/>
        </w:rPr>
        <w:t>o</w:t>
      </w:r>
      <w:r w:rsidRPr="005D0CC5">
        <w:rPr>
          <w:rFonts w:ascii="Arial" w:eastAsia="Calibri" w:hAnsi="Arial" w:cs="Arial"/>
          <w:sz w:val="24"/>
        </w:rPr>
        <w:t xml:space="preserve"> 7334/2009 – 2ª Câmara. </w:t>
      </w:r>
      <w:r w:rsidRPr="005D0CC5">
        <w:rPr>
          <w:rFonts w:ascii="Arial" w:eastAsia="Calibri" w:hAnsi="Arial" w:cs="Arial"/>
          <w:b/>
          <w:i/>
          <w:sz w:val="24"/>
        </w:rPr>
        <w:t>Acórdão n.º 2003/2011-Plenário, TC-008.284/2005-9, rel. Min. Augusto Nardes, 03.08.2011.</w:t>
      </w:r>
    </w:p>
    <w:p w:rsidR="005D0CC5" w:rsidRPr="005D0CC5" w:rsidRDefault="005D0CC5" w:rsidP="0068243F">
      <w:pPr>
        <w:spacing w:before="120" w:after="240" w:line="360" w:lineRule="auto"/>
        <w:jc w:val="both"/>
        <w:rPr>
          <w:rFonts w:ascii="Arial" w:eastAsia="Calibri" w:hAnsi="Arial" w:cs="Arial"/>
          <w:sz w:val="24"/>
        </w:rPr>
      </w:pPr>
    </w:p>
    <w:p w:rsidR="005D0CC5" w:rsidRPr="005D0CC5" w:rsidRDefault="005D0CC5" w:rsidP="0068243F">
      <w:pPr>
        <w:spacing w:before="120" w:after="240" w:line="360" w:lineRule="auto"/>
        <w:jc w:val="both"/>
        <w:rPr>
          <w:rFonts w:ascii="Arial" w:eastAsia="Calibri" w:hAnsi="Arial" w:cs="Arial"/>
          <w:b/>
          <w:sz w:val="24"/>
        </w:rPr>
      </w:pPr>
      <w:r w:rsidRPr="005D0CC5">
        <w:rPr>
          <w:rFonts w:ascii="Arial" w:eastAsia="Calibri" w:hAnsi="Arial" w:cs="Arial"/>
          <w:b/>
          <w:sz w:val="24"/>
        </w:rPr>
        <w:t>Licitação para contratação de bens e serviços: 2 – As exigências para o fim de habilitação devem ser compatíveis com o objeto da licitação, evitando-se o formalismo desnecessário</w:t>
      </w:r>
    </w:p>
    <w:p w:rsidR="005D0CC5" w:rsidRDefault="005D0CC5" w:rsidP="0068243F">
      <w:pPr>
        <w:spacing w:before="120" w:after="240" w:line="360" w:lineRule="auto"/>
        <w:jc w:val="both"/>
        <w:rPr>
          <w:rFonts w:ascii="Arial" w:eastAsia="Calibri" w:hAnsi="Arial" w:cs="Arial"/>
          <w:b/>
          <w:i/>
          <w:sz w:val="24"/>
        </w:rPr>
      </w:pPr>
      <w:r w:rsidRPr="005D0CC5">
        <w:rPr>
          <w:rFonts w:ascii="Arial" w:eastAsia="Calibri" w:hAnsi="Arial" w:cs="Arial"/>
          <w:sz w:val="24"/>
        </w:rPr>
        <w:t>Ainda nas tomadas de contas anuais do Terceiro Centro Integrado de Defesa Aérea e Controle de Tráfego - (Cindacta III), referentes aos exercícios de 2003 e 2004, julgadas pelo TCU, respectivamente, regulares e regulares com ressalva, outra irregularidade apurada foi a inabilitação de uma empresa em uma licitação por não ter acrescido à declaração exigida pelo inciso V do artigo 27 da Lei 8.666/1993 a expressão “exceto na condição de menor aprendiz”. Ao examinar o assunto, a unidade técnica considerou que a inabilitação, pela razão apontada, denotaria excesso de rigor formal, pois a declaração da empresa eliminada afirmava não haver menores trabalhando em seus quadros</w:t>
      </w:r>
      <w:r w:rsidRPr="005D0CC5">
        <w:rPr>
          <w:rFonts w:ascii="Arial" w:eastAsia="Calibri" w:hAnsi="Arial" w:cs="Arial"/>
          <w:i/>
          <w:sz w:val="24"/>
        </w:rPr>
        <w:t>.</w:t>
      </w:r>
      <w:r w:rsidRPr="005D0CC5">
        <w:rPr>
          <w:rFonts w:ascii="Arial" w:eastAsia="Calibri" w:hAnsi="Arial" w:cs="Arial"/>
          <w:sz w:val="24"/>
        </w:rPr>
        <w:t xml:space="preserve"> Assim, ainda para a unidade responsável pelo processo,</w:t>
      </w:r>
      <w:r w:rsidRPr="005D0CC5">
        <w:rPr>
          <w:rFonts w:ascii="Arial" w:eastAsia="Calibri" w:hAnsi="Arial" w:cs="Arial"/>
          <w:i/>
          <w:sz w:val="24"/>
        </w:rPr>
        <w:t xml:space="preserve"> “a partir dessa declaração, o gestor público somente poderia concluir pela inexistência de menores aprendizes. Afinal, menores aprendizes são menores. E como havia sido informada a inexistência de menores trabalhando, não era razoável se depreender que a empresa empregasse menores aprendizes”</w:t>
      </w:r>
      <w:r w:rsidRPr="005D0CC5">
        <w:rPr>
          <w:rFonts w:ascii="Arial" w:eastAsia="Calibri" w:hAnsi="Arial" w:cs="Arial"/>
          <w:sz w:val="24"/>
        </w:rPr>
        <w:t>. Caberia, no máximo, por parte da instituição promotora da licitação</w:t>
      </w:r>
      <w:r w:rsidRPr="005D0CC5">
        <w:rPr>
          <w:rFonts w:ascii="Arial" w:eastAsia="Calibri" w:hAnsi="Arial" w:cs="Arial"/>
          <w:i/>
          <w:sz w:val="24"/>
        </w:rPr>
        <w:t xml:space="preserve"> “promover diligência destinada a esclarecer a questão, indagando da empresa a utilização ou não de menores aprendizes”, </w:t>
      </w:r>
      <w:r w:rsidRPr="005D0CC5">
        <w:rPr>
          <w:rFonts w:ascii="Arial" w:eastAsia="Calibri" w:hAnsi="Arial" w:cs="Arial"/>
          <w:sz w:val="24"/>
        </w:rPr>
        <w:t>o que não configuraria irregularidade, qualquer que fosse a resposta obtida. Por conseguinte, votou pelo provimento dos recursos de revisão intentados, e, no ponto, pela rejeição das justificativas apresentadas pelos responsáveis envolvidos, levando o fato em consideração para votar, ainda, pela irregularidade das contas correspondentes, sem prejuízo de aplicação de multa, o que foi aprovado pelo Plenário. Precedente citado: Acórdão n</w:t>
      </w:r>
      <w:r w:rsidRPr="005D0CC5">
        <w:rPr>
          <w:rFonts w:ascii="Arial" w:eastAsia="Calibri" w:hAnsi="Arial" w:cs="Arial"/>
          <w:sz w:val="24"/>
          <w:u w:val="single"/>
          <w:vertAlign w:val="superscript"/>
        </w:rPr>
        <w:t>o</w:t>
      </w:r>
      <w:r w:rsidRPr="005D0CC5">
        <w:rPr>
          <w:rFonts w:ascii="Arial" w:eastAsia="Calibri" w:hAnsi="Arial" w:cs="Arial"/>
          <w:sz w:val="24"/>
        </w:rPr>
        <w:t xml:space="preserve"> 7334/2009 – 2ª Câmara. </w:t>
      </w:r>
      <w:r w:rsidRPr="005D0CC5">
        <w:rPr>
          <w:rFonts w:ascii="Arial" w:eastAsia="Calibri" w:hAnsi="Arial" w:cs="Arial"/>
          <w:b/>
          <w:i/>
          <w:sz w:val="24"/>
        </w:rPr>
        <w:t>Acórdão n.º 2003/2011-Plenário, TC-008.284/2005-9, rel. Min. Augusto Nardes, 03.08.2011.</w:t>
      </w:r>
    </w:p>
    <w:p w:rsidR="005D0CC5" w:rsidRPr="005D0CC5" w:rsidRDefault="005D0CC5" w:rsidP="0068243F">
      <w:pPr>
        <w:spacing w:before="120" w:after="240" w:line="360" w:lineRule="auto"/>
        <w:jc w:val="both"/>
        <w:rPr>
          <w:rFonts w:ascii="Arial" w:eastAsia="Calibri" w:hAnsi="Arial" w:cs="Arial"/>
          <w:b/>
          <w:i/>
          <w:sz w:val="24"/>
        </w:rPr>
      </w:pPr>
    </w:p>
    <w:p w:rsidR="005D0CC5" w:rsidRPr="005D0CC5" w:rsidRDefault="005D0CC5" w:rsidP="0068243F">
      <w:pPr>
        <w:spacing w:before="120" w:after="240" w:line="360" w:lineRule="auto"/>
        <w:jc w:val="both"/>
        <w:rPr>
          <w:rFonts w:ascii="Arial" w:eastAsia="Calibri" w:hAnsi="Arial" w:cs="Arial"/>
          <w:b/>
          <w:sz w:val="24"/>
        </w:rPr>
      </w:pPr>
      <w:r w:rsidRPr="005D0CC5">
        <w:rPr>
          <w:rFonts w:ascii="Arial" w:eastAsia="Calibri" w:hAnsi="Arial" w:cs="Arial"/>
          <w:b/>
          <w:sz w:val="24"/>
        </w:rPr>
        <w:t xml:space="preserve">É dever do gestor verificar a aceitabilidade de custos indiretos, mesmo em licitações por preço global </w:t>
      </w:r>
    </w:p>
    <w:p w:rsidR="002609E2" w:rsidRPr="002609E2" w:rsidRDefault="005D0CC5" w:rsidP="0068243F">
      <w:pPr>
        <w:spacing w:before="120" w:after="240" w:line="360" w:lineRule="auto"/>
        <w:jc w:val="both"/>
        <w:rPr>
          <w:rFonts w:ascii="Arial" w:eastAsia="Calibri" w:hAnsi="Arial" w:cs="Arial"/>
          <w:sz w:val="24"/>
        </w:rPr>
      </w:pPr>
      <w:r w:rsidRPr="005D0CC5">
        <w:rPr>
          <w:rFonts w:ascii="Arial" w:eastAsia="Calibri" w:hAnsi="Arial" w:cs="Arial"/>
          <w:sz w:val="24"/>
        </w:rPr>
        <w:t>“</w:t>
      </w:r>
      <w:r w:rsidRPr="005D0CC5">
        <w:rPr>
          <w:rFonts w:ascii="Arial" w:eastAsia="Calibri" w:hAnsi="Arial" w:cs="Arial"/>
          <w:i/>
          <w:sz w:val="24"/>
        </w:rPr>
        <w:t>É dever do gestor verificar a aceitabilidade de custos indiretos, mesmo em licitações por preço global</w:t>
      </w:r>
      <w:r w:rsidRPr="005D0CC5">
        <w:rPr>
          <w:rFonts w:ascii="Arial" w:eastAsia="Calibri" w:hAnsi="Arial" w:cs="Arial"/>
          <w:sz w:val="24"/>
        </w:rPr>
        <w:t>”. Foi a esse entendimento a que chegou o Tribunal, ao apreciar tomada de contas especial instaurada em decorrência de irregularidades na contratação pela Petróleo Brasileiro S/A – (Petrobras), de serviços técnicos de engenharia, consultoria, planejamento, controle de custos e apoio técnico, a partir do convite 522.8.008.03-6, resultante no contrato 522.2.012.03-4. Na espécie, diversos itens foram inseridos na composição dos custos indiretos pela empresa contratada pela estatal, dentre eles, rubrica referente a “fundo previdenciário jurídico”. Ouvida a respeito, a empresa contratada alegou que tal item inserido em seus custos indiretos decorreria, basicamente, dos custos de eventuais ações trabalhistas originadas da execução do contrato firmado com a Petrobras. Salientou, ainda, não se tratar de item destinado a cobrir pendências futuras entre a empresa e seus empregados, mas sim em razão da observância, pela contratada, das cláusulas contratuais estipuladas pela Petrobras para a subcontratação dos serviços junto a pessoas jurídicas, cláusulas estas que levariam à possibilidade de reconhecimento judicial de vínculo empregatício dos subcontratados junto à contratada, por conta da aplicação da desconsideração da personalidade jurídica, situações não raras, em seu entendimento, e que trariam como consequência a condenação da contratada ao pagamento de verbas correspondentes a contratos firmados com pessoas físicas, com base na Consolidação das Leis do Trabalho – (CLT). Ou seja, em face das cláusulas constantes do contrato firmado com a Petrobras, referentes à subcontratação, a empresa enfrentaria ações na Justiça do Trabalho que podem onerar seu orçamento, o que a obrigaria a contingenciar a expectativa de tais gastos como custos indiretos. Todavia, os argumentos foram refutados pela unidade técnica responsável pelo feito, para a qual, a subcontração, se realizada corretamente, não geraria pendências ou perdas trabalhistas. Não poderia, portanto, a empresa transferir para o demonstrativo de formação de preços, a título de custos indiretos, os encargos referentes aos riscos decorrentes do descumprimento da legislação, seja comercial, seja trabalhista ou qualquer outra. Em sua análise, o relator, acolhendo as manifestações da unidade técnica, destacou entendimentos anteriores do Tribunal, nos quais se registrou que caberia ao gestor “</w:t>
      </w:r>
      <w:r w:rsidRPr="005D0CC5">
        <w:rPr>
          <w:rFonts w:ascii="Arial" w:eastAsia="Calibri" w:hAnsi="Arial" w:cs="Arial"/>
          <w:i/>
          <w:sz w:val="24"/>
        </w:rPr>
        <w:t>verificar a aceitabilidade dos custos indiretos, mesmo em contratações por preço global</w:t>
      </w:r>
      <w:r w:rsidRPr="005D0CC5">
        <w:rPr>
          <w:rFonts w:ascii="Arial" w:eastAsia="Calibri" w:hAnsi="Arial" w:cs="Arial"/>
          <w:sz w:val="24"/>
        </w:rPr>
        <w:t>”, como no caso analisado. Votou, por consequência, pela rejeição das alegações de defesa, bem como pela irregularidade das contas, sem prejuízo da aplicação de multa aos responsáveis envolvidos, o que foi aprovado pela 2ª Câmara. Precedentes citados: Acórdãos n</w:t>
      </w:r>
      <w:r w:rsidRPr="005D0CC5">
        <w:rPr>
          <w:rFonts w:ascii="Arial" w:eastAsia="Calibri" w:hAnsi="Arial" w:cs="Arial"/>
          <w:sz w:val="24"/>
          <w:u w:val="single"/>
          <w:vertAlign w:val="superscript"/>
        </w:rPr>
        <w:t>os</w:t>
      </w:r>
      <w:r w:rsidRPr="005D0CC5">
        <w:rPr>
          <w:rFonts w:ascii="Arial" w:eastAsia="Calibri" w:hAnsi="Arial" w:cs="Arial"/>
          <w:sz w:val="24"/>
          <w:vertAlign w:val="superscript"/>
        </w:rPr>
        <w:t xml:space="preserve"> </w:t>
      </w:r>
      <w:r w:rsidRPr="005D0CC5">
        <w:rPr>
          <w:rFonts w:ascii="Arial" w:eastAsia="Calibri" w:hAnsi="Arial" w:cs="Arial"/>
          <w:sz w:val="24"/>
        </w:rPr>
        <w:t xml:space="preserve">159/2003 e 1.684/2003 – Plenário. </w:t>
      </w:r>
      <w:r w:rsidRPr="005D0CC5">
        <w:rPr>
          <w:rFonts w:ascii="Arial" w:eastAsia="Calibri" w:hAnsi="Arial" w:cs="Arial"/>
          <w:b/>
          <w:i/>
          <w:sz w:val="24"/>
        </w:rPr>
        <w:t>Acórdão n.º 5457/2011-2ª Câmara, TC-009.380/2008-4, rel. Min. Aroldo Cedraz, 02.08.2011.</w:t>
      </w:r>
    </w:p>
    <w:p w:rsidR="00716EEA" w:rsidRPr="00716EEA" w:rsidRDefault="00716EEA" w:rsidP="0068243F">
      <w:pPr>
        <w:spacing w:before="120" w:after="240" w:line="360" w:lineRule="auto"/>
        <w:jc w:val="both"/>
        <w:rPr>
          <w:rFonts w:ascii="Arial" w:eastAsia="Calibri" w:hAnsi="Arial" w:cs="Arial"/>
          <w:b/>
          <w:sz w:val="24"/>
        </w:rPr>
      </w:pPr>
    </w:p>
    <w:p w:rsidR="00716EEA" w:rsidRDefault="004362C9" w:rsidP="0068243F">
      <w:pPr>
        <w:spacing w:before="120" w:after="240" w:line="360" w:lineRule="auto"/>
        <w:jc w:val="center"/>
        <w:rPr>
          <w:rFonts w:ascii="Arial" w:eastAsia="Calibri" w:hAnsi="Arial" w:cs="Arial"/>
          <w:sz w:val="32"/>
        </w:rPr>
      </w:pPr>
      <w:r>
        <w:rPr>
          <w:rFonts w:ascii="Arial" w:eastAsia="Calibri" w:hAnsi="Arial" w:cs="Arial"/>
          <w:sz w:val="32"/>
        </w:rPr>
        <w:t>76.</w:t>
      </w:r>
    </w:p>
    <w:p w:rsidR="004362C9" w:rsidRPr="004362C9" w:rsidRDefault="004362C9" w:rsidP="0068243F">
      <w:pPr>
        <w:spacing w:after="120" w:line="360" w:lineRule="auto"/>
        <w:jc w:val="both"/>
        <w:rPr>
          <w:rFonts w:ascii="Arial" w:eastAsia="Calibri" w:hAnsi="Arial" w:cs="Arial"/>
          <w:b/>
          <w:sz w:val="24"/>
        </w:rPr>
      </w:pPr>
      <w:r w:rsidRPr="004362C9">
        <w:rPr>
          <w:rFonts w:ascii="Arial" w:eastAsia="Calibri" w:hAnsi="Arial" w:cs="Arial"/>
          <w:b/>
          <w:sz w:val="24"/>
        </w:rPr>
        <w:t xml:space="preserve">Na utilização do inciso IV do art. 24 da Lei 8.666/1993 como fundamento da contratação direta, as obras e/ou serviços contratados devem estar adstritos aos itens necessários ao atendimento da situação emergencial ou calamitosa e que possam ser concluídos no prazo máximo de 180 (cento e oitenta) dias consecutivos e ininterruptos, contados da ocorrência da emergência ou calamidade, vedada a prorrogação dos respectivos contratos </w:t>
      </w:r>
    </w:p>
    <w:p w:rsidR="004362C9" w:rsidRPr="004362C9" w:rsidRDefault="004362C9" w:rsidP="0068243F">
      <w:pPr>
        <w:spacing w:after="0" w:line="360" w:lineRule="auto"/>
        <w:jc w:val="both"/>
        <w:rPr>
          <w:rFonts w:ascii="Arial" w:eastAsia="Calibri" w:hAnsi="Arial" w:cs="Arial"/>
          <w:b/>
          <w:i/>
          <w:sz w:val="32"/>
        </w:rPr>
      </w:pPr>
      <w:r w:rsidRPr="004362C9">
        <w:rPr>
          <w:rFonts w:ascii="Arial" w:eastAsia="Calibri" w:hAnsi="Arial" w:cs="Arial"/>
          <w:sz w:val="24"/>
        </w:rPr>
        <w:t xml:space="preserve">Denúncia formulada ao Tribunal por conta de supostas irregularidades ocorridas no Instituto Federal de Educação, Ciência e Tecnologia do Piauí - (IFPI), atinentes à conclusão da obra do Campus Paulistana, na cidade de Paulistana/PI. Na etapa processual anterior, o Tribunal deliberou pela suspensão cautelar da contratação, dentre outras razões, pela utilização aparentemente indevida do </w:t>
      </w:r>
      <w:r w:rsidRPr="004362C9">
        <w:rPr>
          <w:rFonts w:ascii="Arial" w:eastAsia="Calibri" w:hAnsi="Arial" w:cs="Arial"/>
          <w:iCs/>
          <w:sz w:val="24"/>
        </w:rPr>
        <w:t xml:space="preserve">inc. IV do art. 24 da Lei 8.666/1993 (dispensa de licitação amparada na emergência) para a contratação de todo restante da obra, quando, na realidade, o IFPI deveria ter se limitado, por conta do fundamento utilizado, à </w:t>
      </w:r>
      <w:r w:rsidRPr="004362C9">
        <w:rPr>
          <w:rFonts w:ascii="Arial" w:eastAsia="Calibri" w:hAnsi="Arial" w:cs="Arial"/>
          <w:sz w:val="24"/>
        </w:rPr>
        <w:t>emergência constante do dispositivo retromencionado, à contratação de partes da obra ou de alguns serviços mais específicos, cuja não finalização em caráter de urgência pudesse causar sérios danos à estrutura já edificada, acarretando, por exemplo, a deterioração dos bens já empregados na obra, sempre mediante justificativa (ver informativo 65). Para o exame do mérito da matéria, o processo foi encaminhado à unidade técnica para instrução, na qual se consignou que “</w:t>
      </w:r>
      <w:r w:rsidRPr="004362C9">
        <w:rPr>
          <w:rFonts w:ascii="Arial" w:eastAsia="Calibri" w:hAnsi="Arial" w:cs="Arial"/>
          <w:i/>
          <w:sz w:val="24"/>
        </w:rPr>
        <w:t>a administração do IFPI deve, contudo, atentar para o que estipula o final do item IV do art. 24 da Lei 8.666/93: ‘(...) e somente para os bens necessários ao atendimento da situação emergencial ou calamitosa e para as parcelas de obras e serviços que possam ser concluídos no prazo máximo de 180 (cento e oitenta) dias consecutivos e ininterruptos, contados da ocorrência da emergência ou calamidade, vedada a prorrogação dos respectivos contratos</w:t>
      </w:r>
      <w:r w:rsidRPr="004362C9">
        <w:rPr>
          <w:rFonts w:ascii="Arial" w:eastAsia="Calibri" w:hAnsi="Arial" w:cs="Arial"/>
          <w:sz w:val="24"/>
        </w:rPr>
        <w:t xml:space="preserve">”, no que contou com anuência do relator, que votou por que fosse dado ciência ao IFPI de que em razão do caráter emergencial da obra, a planilha orçamentária elaborada para a conclusão do Campus Paulistana não poderá ser onerada mediante a inclusão de itens que não guardem pertinência com a situação emergencial delineada, o que foi aprovado pelo Plenário. </w:t>
      </w:r>
      <w:r w:rsidRPr="004362C9">
        <w:rPr>
          <w:rFonts w:ascii="Arial" w:eastAsia="Calibri" w:hAnsi="Arial" w:cs="Arial"/>
          <w:b/>
          <w:i/>
          <w:sz w:val="24"/>
        </w:rPr>
        <w:t>Acórdão n.º 2190/2011-Plenário, TC-014.245/2011-6, rel. Min. José Jorge, 17.08.2011.</w:t>
      </w:r>
    </w:p>
    <w:p w:rsidR="004362C9" w:rsidRPr="004362C9" w:rsidRDefault="004362C9" w:rsidP="0068243F">
      <w:pPr>
        <w:spacing w:before="120" w:after="240" w:line="360" w:lineRule="auto"/>
        <w:jc w:val="both"/>
        <w:rPr>
          <w:rFonts w:ascii="Arial" w:eastAsia="Calibri" w:hAnsi="Arial" w:cs="Arial"/>
          <w:sz w:val="24"/>
        </w:rPr>
      </w:pPr>
    </w:p>
    <w:p w:rsidR="00716EEA" w:rsidRDefault="009343C4" w:rsidP="0068243F">
      <w:pPr>
        <w:spacing w:before="120" w:after="240" w:line="360" w:lineRule="auto"/>
        <w:jc w:val="center"/>
        <w:rPr>
          <w:rFonts w:ascii="Arial" w:eastAsia="Calibri" w:hAnsi="Arial" w:cs="Arial"/>
          <w:b/>
          <w:sz w:val="32"/>
        </w:rPr>
      </w:pPr>
      <w:r>
        <w:rPr>
          <w:rFonts w:ascii="Arial" w:eastAsia="Calibri" w:hAnsi="Arial" w:cs="Arial"/>
          <w:b/>
          <w:sz w:val="32"/>
        </w:rPr>
        <w:t>77.</w:t>
      </w:r>
    </w:p>
    <w:p w:rsidR="009343C4" w:rsidRPr="009343C4" w:rsidRDefault="009343C4" w:rsidP="0068243F">
      <w:pPr>
        <w:spacing w:after="0" w:line="360" w:lineRule="auto"/>
        <w:jc w:val="both"/>
        <w:rPr>
          <w:rFonts w:ascii="Arial" w:eastAsia="Calibri" w:hAnsi="Arial" w:cs="Arial"/>
          <w:b/>
          <w:sz w:val="24"/>
        </w:rPr>
      </w:pPr>
      <w:r w:rsidRPr="009343C4">
        <w:rPr>
          <w:rFonts w:ascii="Arial" w:eastAsia="Calibri" w:hAnsi="Arial" w:cs="Arial"/>
          <w:b/>
          <w:sz w:val="24"/>
        </w:rPr>
        <w:t xml:space="preserve">A comprovação da capacidade técnico-operacional das licitantes deve se restringir às parcelas de maior relevância e valor significativo do objeto a ser contratado </w:t>
      </w:r>
    </w:p>
    <w:p w:rsidR="009343C4" w:rsidRPr="009343C4" w:rsidRDefault="009343C4" w:rsidP="0068243F">
      <w:pPr>
        <w:spacing w:after="0" w:line="360" w:lineRule="auto"/>
        <w:jc w:val="both"/>
        <w:rPr>
          <w:rFonts w:ascii="Arial" w:eastAsia="Calibri" w:hAnsi="Arial" w:cs="Arial"/>
          <w:sz w:val="24"/>
        </w:rPr>
      </w:pPr>
      <w:r w:rsidRPr="009343C4">
        <w:rPr>
          <w:rFonts w:ascii="Arial" w:eastAsia="Calibri" w:hAnsi="Arial" w:cs="Arial"/>
          <w:sz w:val="24"/>
        </w:rPr>
        <w:t xml:space="preserve">Representação formulada ao TCU noticiou possíveis irregularidades na condução das concorrências 0609/2010, 0003/2011 e 0004/2011, processadas pela Superintendência Regional do Departamento Nacional de Infraestrutura de Transportes no Estado do Espírito Santo – (Dnit-SR/ES), com vistas à construção de passarelas metálicas nas rodovias BR- 262/ES e BR-101/ES. Dentre tais irregularidades, constou a inclusão dos serviços “Steel Deck MF-50” e “Gradil – fornecimento e assentamento de gradil” como um dos requisitos a serem objeto de comprovação da aptidão profissional e operacional das empresas licitantes, serviços estes que não atenderiam aos pressupostos de relevância técnica e de valor significativo. Para o relator, conforme a jurisprudência do Tribunal, “a comprovação da capacidade técnico-operacional das licitantes deve se restringir às parcelas de maior relevância e valor significativo do objeto a ser contratado, o que não restou comprovado nesta representação, eis que os serviços denominados ‘Steel Deck MF-50’ e ‘Gradil – fornecimento e assentamento de gradil’ contemplam valores inexpressivos perante o custo total das obras”, fato este que, inclusive, teria sido reconhecido pelos próprios gestores. A isto, ainda para o relator, somou-se a circunstância de ter ocorrido a habilitação de apenas uma empresa – a mesma empresa, – nos três certames, caracterizando consistente indício de que a exigência teria sido desarrazoada, especialmente considerando de que se tratava de objeto comum em obras rodoviárias e que as demais licitantes foram inabilitadas justamente por conta disso. Por conseguinte, diante desta e de outras irregularidades, o relator votou por que se determinasse ao Dnit-SR/ES a adoção das providências necessárias à anulação das concorrências 0609/2010, 0003/2011 e 0004/2011 ou, ao menos, à declaração de nulidade dos procedimentos licitatórios subsequentes à publicação dos respectivos editais, retificando-os no que tange às irregularidades suscitadas, bem como por que fossem promovidas as audiências dos agentes públicos envolvidos, para apuração das devidas responsabilidades.  Nos termos do voto do relator, o Plenário manifestou sua anuência. </w:t>
      </w:r>
      <w:r w:rsidRPr="009343C4">
        <w:rPr>
          <w:rFonts w:ascii="Arial" w:eastAsia="Calibri" w:hAnsi="Arial" w:cs="Arial"/>
          <w:b/>
          <w:i/>
          <w:sz w:val="24"/>
        </w:rPr>
        <w:t>Acórdão n.º 2253/2011-Plenário, TC-005.410/2011-8, rel. Min. Aroldo Cedraz, 24.08.2011.</w:t>
      </w:r>
    </w:p>
    <w:p w:rsidR="009343C4" w:rsidRDefault="009343C4" w:rsidP="0068243F">
      <w:pPr>
        <w:spacing w:before="120" w:after="240" w:line="360" w:lineRule="auto"/>
        <w:jc w:val="both"/>
        <w:rPr>
          <w:rFonts w:ascii="Arial" w:eastAsia="Calibri" w:hAnsi="Arial" w:cs="Arial"/>
          <w:b/>
          <w:sz w:val="24"/>
        </w:rPr>
      </w:pPr>
    </w:p>
    <w:p w:rsidR="009343C4" w:rsidRPr="009343C4" w:rsidRDefault="009343C4" w:rsidP="0068243F">
      <w:pPr>
        <w:spacing w:after="0" w:line="360" w:lineRule="auto"/>
        <w:jc w:val="both"/>
        <w:rPr>
          <w:rFonts w:ascii="Arial" w:eastAsia="Calibri" w:hAnsi="Arial" w:cs="Arial"/>
          <w:b/>
          <w:sz w:val="24"/>
        </w:rPr>
      </w:pPr>
      <w:r w:rsidRPr="009343C4">
        <w:rPr>
          <w:rFonts w:ascii="Arial" w:eastAsia="Calibri" w:hAnsi="Arial" w:cs="Arial"/>
          <w:b/>
          <w:sz w:val="24"/>
        </w:rPr>
        <w:t>É ilegal a participação do autor do projeto básico, ainda que indireta, em licitação ou na execução da obra, não descaracterizando a infração a ocorrência da exclusão do referido autor do quadro social da empresa participante da licitação, às vésperas do certame</w:t>
      </w:r>
    </w:p>
    <w:p w:rsidR="009343C4" w:rsidRPr="009343C4" w:rsidRDefault="009343C4" w:rsidP="0068243F">
      <w:pPr>
        <w:spacing w:after="0" w:line="360" w:lineRule="auto"/>
        <w:jc w:val="both"/>
        <w:rPr>
          <w:rFonts w:ascii="Arial" w:eastAsia="Calibri" w:hAnsi="Arial" w:cs="Arial"/>
          <w:b/>
          <w:i/>
          <w:sz w:val="24"/>
        </w:rPr>
      </w:pPr>
      <w:r w:rsidRPr="009343C4">
        <w:rPr>
          <w:rFonts w:ascii="Arial" w:eastAsia="Calibri" w:hAnsi="Arial" w:cs="Arial"/>
          <w:sz w:val="24"/>
        </w:rPr>
        <w:t xml:space="preserve">Mediante representação, o TCU tomou conhecimento de potenciais irregularidades em licitações realizadas pela Prefeitura Municipal de Conceição, na Paraíba, em especial na Tomada de Preços nº 04/2007, a partir da qual se apurou potenciais prejuízos ocorridos ao erário na construção, com recursos federais, de dois açudes. Uma dessas irregularidades estaria no fato de que o pai do autor dos projetos básicos dos dois açudes era, na época dos acontecimentos, sócio em uma construtora de dois dos proprietários da construtora que vencera a Tomada de Preços nº 04/2007. No ponto de vista do relator, essa situação configuraria a hipótese prevista no inciso I do § 3º do art. 9º da Lei nº 8.666/1993, que veda a participação indireta do autor do projeto na licitação ou na execução da obra. A esse respeito, esclareceu o relator que o mencionado dispositivo é bastante abrangente, “ao definir o tipo de vínculo que caracteriza a participação indireta (de natureza técnica, comercial, econômica, financeira ou trabalhista), não deixando dúvida, a meu ver, da ocorrência da irregularidade no caso em apreço”. Ao votar pelo sancionamento do ex-Prefeito responsável pela situação, o relator destacou o argumento apresentado pela referida autoridade de que o quadro-social da empresa, que contava com a participação do pai do autor do projeto básico, fora alterado anteriormente ao certame, com a exclusão do genitor do responsável pela elaboração do projeto. Para o relator, essa modificação realizada às vésperas do certame não descaracterizaria a participação indireta. Ao contrário, demonstraria a intenção nociva de se conferir à situação uma aparência de legalidade. Ressaltou, ainda o relator, que a postura leniente do ex-alcaide, ante o referido contexto, do qual tinha ciência desde a época dos fatos, confirmaria a conivência com os atos das construtoras e robusteceria a conclusão pela necessidade de sua responsabilização. Por conseguinte, além da multa ao ex-Prefeito, o relator votou por que este fosse inabilitado ao exercício de cargo em comissão ou função de confiança na Administração Pública, pelo período de cinco anos, bem como pela declaração de inidoneidade das empresas envolvidas, de modo a impedi-las de participar de licitações no âmbito da Administração Pública Federal pelo prazo de três anos, no que contou com a anuência do Plenário. </w:t>
      </w:r>
      <w:r w:rsidRPr="009343C4">
        <w:rPr>
          <w:rFonts w:ascii="Arial" w:eastAsia="Calibri" w:hAnsi="Arial" w:cs="Arial"/>
          <w:b/>
          <w:i/>
          <w:sz w:val="24"/>
        </w:rPr>
        <w:t>Acórdão n.º 2264/2011-Plenário, TC-009.792/2011-5, rel. Min. José Múcio Monteiro, 24.08.2011.</w:t>
      </w:r>
    </w:p>
    <w:p w:rsidR="009343C4" w:rsidRDefault="009343C4" w:rsidP="0068243F">
      <w:pPr>
        <w:spacing w:before="120" w:after="240" w:line="360" w:lineRule="auto"/>
        <w:jc w:val="both"/>
        <w:rPr>
          <w:rFonts w:ascii="Arial" w:eastAsia="Calibri" w:hAnsi="Arial" w:cs="Arial"/>
          <w:b/>
          <w:sz w:val="24"/>
        </w:rPr>
      </w:pPr>
    </w:p>
    <w:p w:rsidR="00B15825" w:rsidRPr="00B15825" w:rsidRDefault="00B15825" w:rsidP="0068243F">
      <w:pPr>
        <w:spacing w:after="0" w:line="360" w:lineRule="auto"/>
        <w:jc w:val="both"/>
        <w:rPr>
          <w:rFonts w:ascii="Arial" w:eastAsia="Calibri" w:hAnsi="Arial" w:cs="Arial"/>
          <w:b/>
          <w:sz w:val="24"/>
        </w:rPr>
      </w:pPr>
      <w:r w:rsidRPr="00B15825">
        <w:rPr>
          <w:rFonts w:ascii="Arial" w:eastAsia="Calibri" w:hAnsi="Arial" w:cs="Arial"/>
          <w:b/>
          <w:sz w:val="24"/>
        </w:rPr>
        <w:t xml:space="preserve">Licitação de obra pública: 1 – No caso de exigência de visita técnica, não há necessidade de que esta seja realizada pelo engenheiro responsável técnico integrante dos quadros da licitante, pois isto imporia, de modo indevido, contratação do profissional antes mesmo da realização da licitação </w:t>
      </w:r>
    </w:p>
    <w:p w:rsidR="00B15825" w:rsidRPr="00B15825" w:rsidRDefault="00B15825" w:rsidP="0068243F">
      <w:pPr>
        <w:spacing w:after="0" w:line="360" w:lineRule="auto"/>
        <w:jc w:val="both"/>
        <w:rPr>
          <w:rFonts w:ascii="Arial" w:eastAsia="Calibri" w:hAnsi="Arial" w:cs="Arial"/>
          <w:sz w:val="24"/>
        </w:rPr>
      </w:pPr>
      <w:r w:rsidRPr="00B15825">
        <w:rPr>
          <w:rFonts w:ascii="Arial" w:eastAsia="Calibri" w:hAnsi="Arial" w:cs="Arial"/>
          <w:sz w:val="24"/>
        </w:rPr>
        <w:t xml:space="preserve">Denúncia encaminhada ao Tribunal noticiou pretensas irregularidades na Tomada de Preços 1/2010, realizada para execução do Convênio 657732/2009, firmado entre a Prefeitura Municipal de Davinópolis/GO e o Fundo Nacional de Desenvolvimento da Educação – (FNDE), cujo objeto consistiu na construção de creche no âmbito do Programa Nacional de Reestruturação e Aparelhagem da Rede Escolar Pública de Educação Infantil – (PROINFÂNCIA). Dentre tais irregularidades constou a imposição de que a visita técnica, para conhecimento do objeto do certame, fosse realizada obrigatoriamente por engenheiro civil, responsável técnico da empresa licitante e detentor dos atestados de obra, a serem apresentados na habilitação. A esse respeito, alegaram os responsáveis que a exigência seria necessária, por ser condição do edital que a empresa detivesse em seu quadro permanente profissional qualificado, além de levar em consideração a complexidade dos serviços executados, evitando-se, assim, futuros questionamentos acerca do objeto licitado e das questões técnicas do projeto. Por outro lado, a exigência garantiria a segurança na execução da obra, ainda para os responsáveis. Consoante o relator, entretanto, a obrigatoriedade de que a visita técnica fosse realizada por engenheiro civil, responsável técnico da empresa licitante, exigiria, implicitamente, que a empresa possuísse o profissional em seus quadros permanentes, “pois impõe a contratação do engenheiro antes mesmo da realização da licitação”. Tal exigência, que inibiria a participação de possíveis interessados, não se coadunaria com a jurisprudência do Tribunal. Ainda de acordo com o relator, “o interesse é que o engenheiro esteja disponível para desempenhar seus serviços, de modo permanente, durante a execução do contrato”. O dispositivo da Lei 8.666/93 que trata do assunto (inciso I do §1º do art. 30) deveria, então, ser compreendido de forma analítica, com vistas a atingir os objetivos a que se destina a licitação: garantir a observância do princípio constitucional da isonomia e a seleção da proposta mais vantajosa para a administração. Por conseguinte, por essa e por outras irregularidades, votou pela aplicação de multa aos responsáveis, no que foi acompanhado pelo Plenário. </w:t>
      </w:r>
      <w:r w:rsidRPr="00B15825">
        <w:rPr>
          <w:rFonts w:ascii="Arial" w:eastAsia="Calibri" w:hAnsi="Arial" w:cs="Arial"/>
          <w:b/>
          <w:i/>
          <w:sz w:val="24"/>
        </w:rPr>
        <w:t>Acórdão n.º 2299/2011-Plenário, TC-029.583/2010-1, rel. Min.-Subst. Augusto Sherman Cavalcanti, 24.08.2011.</w:t>
      </w:r>
    </w:p>
    <w:p w:rsidR="00B15825" w:rsidRPr="00B15825" w:rsidRDefault="00B15825" w:rsidP="0068243F">
      <w:pPr>
        <w:spacing w:after="0" w:line="360" w:lineRule="auto"/>
        <w:jc w:val="both"/>
        <w:rPr>
          <w:rFonts w:ascii="Arial" w:eastAsia="Calibri" w:hAnsi="Arial" w:cs="Arial"/>
          <w:sz w:val="24"/>
        </w:rPr>
      </w:pPr>
    </w:p>
    <w:p w:rsidR="00B15825" w:rsidRPr="00B15825" w:rsidRDefault="00B15825" w:rsidP="0068243F">
      <w:pPr>
        <w:spacing w:after="0" w:line="360" w:lineRule="auto"/>
        <w:jc w:val="both"/>
        <w:rPr>
          <w:rFonts w:ascii="Arial" w:eastAsia="Calibri" w:hAnsi="Arial" w:cs="Arial"/>
          <w:b/>
          <w:sz w:val="24"/>
        </w:rPr>
      </w:pPr>
      <w:r w:rsidRPr="00B15825">
        <w:rPr>
          <w:rFonts w:ascii="Arial" w:eastAsia="Calibri" w:hAnsi="Arial" w:cs="Arial"/>
          <w:b/>
          <w:sz w:val="24"/>
        </w:rPr>
        <w:t xml:space="preserve">Licitação de obra pública: 2 – De modo geral, para o fim de qualificação econômico-financeira só podem ser exigidos índices usualmente utilizados pelo mercado, sempre de maneira justificada no processo licitatório </w:t>
      </w:r>
    </w:p>
    <w:p w:rsidR="00B15825" w:rsidRPr="00B15825" w:rsidRDefault="00B15825" w:rsidP="0068243F">
      <w:pPr>
        <w:spacing w:after="0" w:line="360" w:lineRule="auto"/>
        <w:jc w:val="both"/>
        <w:rPr>
          <w:rFonts w:ascii="Arial" w:eastAsia="Calibri" w:hAnsi="Arial" w:cs="Arial"/>
          <w:b/>
          <w:i/>
          <w:sz w:val="24"/>
        </w:rPr>
      </w:pPr>
      <w:r w:rsidRPr="00B15825">
        <w:rPr>
          <w:rFonts w:ascii="Arial" w:eastAsia="Calibri" w:hAnsi="Arial" w:cs="Arial"/>
          <w:sz w:val="24"/>
        </w:rPr>
        <w:t xml:space="preserve">Ainda na denúncia a partir da qual foi encaminhada notícia dando conta de pretensas irregularidades na Tomada de Preços 1/2010, realizada para execução do Convênio 657732/2009, firmado entre a Prefeitura Municipal de Davinópolis/GO e o Fundo Nacional de Desenvolvimento da Educação – (FNDE), também foi apontada como irregular a exigência de índices de liquidez geral e liquidez corrente, bem como de grau de endividamento, não usualmente adotados para a correta avaliação da situação financeira. Instados a se pronunciar a respeito do fato, os responsáveis consignaram que, em seu entendimento, seria possível e plausível a indicação dos índices exigidos no edital para serviços de engenharia, um pouco superiores às demais categorias de serviços, estando de acordo com o disposto no art. 31, § 5º, da Lei 8.666/1993. Além disso, argumentaram que, considerando a complexidade da obra, a intenção foi de garantir o cumprimento das obrigações pela empresa contratada. Todavia, para o relator, ao contrário do afirmado pelos responsáveis, o edital não estaria em conformidade com a legislação, em face das grandes diferenças entre os índices usualmente adotados e os exigidos das empresas participantes do certame, conforme demonstrado pela unidade técnica. Nesse contexto, destacou que, no âmbito da Administração Pública Federal, a Instrução Normativa MARE 5/1995 definiu que a comprovação de boa situação financeira de empresa oriunda de localidade onde o Sistema de Cadastramento Unificado de Fornecedores - (SICAF) não tenha sido implantado, será baseada na obtenção de índices de Liquidez Geral, Solvência Geral e Liquidez Corrente. As empresas que apresentassem resultado igual ou menor do que 1,0, em qualquer dos índices referidos, deveriam, então, apresentar outras comprovações e garantias. No caso examinado, observou-se que as exigências editalícias de índices maiores ou iguais a 5 (cinco) estavam muito superiores ao parâmetro normativo. Do mesmo modo, o grau de endividamento previsto no edital, menor ou igual a 0,16, estaria distante do índice usualmente adotado, que varia de 0,8 a 1,0. Além disso, em qualquer caso, ainda conforme o relator, seria obrigatório justificar, no processo licitatório, os índices contábeis e valores utilizados, o que não foi realizado. Por conseguinte, por essa e por outras irregularidades, votou pela aplicação de multa aos responsáveis, no que foi acompanhado pelo Plenário. </w:t>
      </w:r>
      <w:r w:rsidRPr="00B15825">
        <w:rPr>
          <w:rFonts w:ascii="Arial" w:eastAsia="Calibri" w:hAnsi="Arial" w:cs="Arial"/>
          <w:b/>
          <w:i/>
          <w:sz w:val="24"/>
        </w:rPr>
        <w:t>Acórdão n.º 2299/2011-Plenário, TC-029.583/2010-1, rel. Min.-Subst. Augusto Sherman Cavalcanti, 24.08.2011.</w:t>
      </w:r>
    </w:p>
    <w:p w:rsidR="00B15825" w:rsidRPr="009343C4" w:rsidRDefault="00B15825" w:rsidP="0068243F">
      <w:pPr>
        <w:spacing w:before="120" w:after="240" w:line="360" w:lineRule="auto"/>
        <w:jc w:val="both"/>
        <w:rPr>
          <w:rFonts w:ascii="Arial" w:eastAsia="Calibri" w:hAnsi="Arial" w:cs="Arial"/>
          <w:b/>
          <w:sz w:val="24"/>
        </w:rPr>
      </w:pPr>
    </w:p>
    <w:p w:rsidR="000F2D4B" w:rsidRDefault="004277FF" w:rsidP="0068243F">
      <w:pPr>
        <w:spacing w:before="120" w:after="240" w:line="360" w:lineRule="auto"/>
        <w:jc w:val="center"/>
        <w:rPr>
          <w:rFonts w:ascii="Arial" w:eastAsia="Calibri" w:hAnsi="Arial" w:cs="Arial"/>
          <w:b/>
          <w:sz w:val="32"/>
        </w:rPr>
      </w:pPr>
      <w:r>
        <w:rPr>
          <w:rFonts w:ascii="Arial" w:eastAsia="Calibri" w:hAnsi="Arial" w:cs="Arial"/>
          <w:b/>
          <w:sz w:val="32"/>
        </w:rPr>
        <w:t>78.</w:t>
      </w:r>
    </w:p>
    <w:p w:rsidR="004277FF" w:rsidRPr="004277FF" w:rsidRDefault="004277FF" w:rsidP="0068243F">
      <w:pPr>
        <w:spacing w:after="0" w:line="360" w:lineRule="auto"/>
        <w:jc w:val="both"/>
        <w:rPr>
          <w:rFonts w:ascii="Arial" w:eastAsia="Calibri" w:hAnsi="Arial" w:cs="Arial"/>
          <w:b/>
          <w:sz w:val="24"/>
        </w:rPr>
      </w:pPr>
      <w:r w:rsidRPr="004277FF">
        <w:rPr>
          <w:rFonts w:ascii="Arial" w:eastAsia="Calibri" w:hAnsi="Arial" w:cs="Arial"/>
          <w:b/>
          <w:sz w:val="24"/>
        </w:rPr>
        <w:t>Supressões contratuais anteriores devem ser levadas em consideração para o fim de se determinar a base para acréscimos percentuais posteriores</w:t>
      </w:r>
    </w:p>
    <w:p w:rsidR="004277FF" w:rsidRPr="004277FF" w:rsidRDefault="004277FF" w:rsidP="0068243F">
      <w:pPr>
        <w:spacing w:after="0" w:line="360" w:lineRule="auto"/>
        <w:jc w:val="both"/>
        <w:rPr>
          <w:rFonts w:ascii="Arial" w:eastAsia="Calibri" w:hAnsi="Arial" w:cs="Arial"/>
          <w:b/>
          <w:i/>
          <w:sz w:val="24"/>
        </w:rPr>
      </w:pPr>
      <w:r w:rsidRPr="004277FF">
        <w:rPr>
          <w:rFonts w:ascii="Arial" w:eastAsia="Calibri" w:hAnsi="Arial" w:cs="Arial"/>
          <w:sz w:val="24"/>
        </w:rPr>
        <w:t xml:space="preserve">A partir de auditoria realizada nas obras do Canal do Sertão Alagoano, executadas por conta do Contrato nº 03/1992, celebrado pela Secretaria de Infra-Estrutura do Governo do Estado de Alagoas, o Tribunal apreciou razões de justificativas apresentadas por responsáveis acerca de alterações contratuais acima dos limites permitidos pelo ordenamento jurídico. Ao refutar os argumentos apresentados com relação a tais alterações contratuais, a unidade técnica entendeu que estas teriam desnaturado, por completo, a avença original. Isso se deveu, ainda conforme a unidade instrutiva, por conta de a instituição contratante não ter considerado as supressões advindas ao contrato, após a firmatura deste, o que determinaria uma nova base para o fim de cálculo dos acréscimos percentuais admitidos no § 1º do art. 65 da Lei 8.666/1993, conforme entendimento mantido pelo Tribunal na Decisão nº 1575/2002-Plenário. Consoante a unidade técnica, “em tese, não há limites para a redução contratual consensual, mas, a partir do momento da redução da avença, por força de supressões de serviços licitados e contratados, ascendeu ao mundo jurídico um novo contrato (aditivado por supressão), que será a nova base para fins de incidência do percentual máximo de 25%. Por esta metodologia, introduzida pela Decisão nº 1575/2002-Plenário, com a retirada do item de orçamento ‘Ponte-Canal’ do orçamento licitado e contratado, no valor de R$ 25.690.573,68 a preços de agosto/2002, por meio do 2º Termo Aditivo, o valor total do contrato passou de R$ 41.778.628,39 a preços de agosto/2002 para R$ 16.088.054,71 na mesma data de referência (diferença entre o total do contrato e o que foi suprimido). Portanto, esta seria a nova base de incidência (R$ 16.088.054,71) do limite legal máximo de 25%”. Diante disso, concluiu a unidade responsável pelo feito que “só poderia ser acrescido, em termos de serviços, o valor de R$ 4.022.013,68 (25% de R$ 16.088.054,71), os quais, acrescidos ao valor do contrato com a supressão (R$ 16.088.054,71), chegaríamos ao montante de R$ 20.110.068,39. Passando este a ser o valor máximo permitido pela Lei nº 8.666/93”. Todavia, como o contrato, após aditivos, alcançou o valor de R$ 50.172.205,03, mediante acréscimos de novos serviços, totalizou-se, conforme o ponto de vista da unidade técnica, o percentual de 211,86% em relação à base de incidência (R$ 16.088.054,71), o que a levou a propor, por esta e por outra irregularidade, multa aos responsáveis envolvidos, no que contou com a anuência do relator e do Plenário. </w:t>
      </w:r>
      <w:r w:rsidRPr="004277FF">
        <w:rPr>
          <w:rFonts w:ascii="Arial" w:eastAsia="Calibri" w:hAnsi="Arial" w:cs="Arial"/>
          <w:b/>
          <w:i/>
          <w:sz w:val="24"/>
        </w:rPr>
        <w:t>Acórdão n.º 2331/2011-Plenário, TC-014.771/2006-1, rel. Min. Valmir Campelo, 31.08.2011.</w:t>
      </w:r>
    </w:p>
    <w:p w:rsidR="00A13F0A" w:rsidRPr="000F2D4B" w:rsidRDefault="00A13F0A" w:rsidP="0068243F">
      <w:pPr>
        <w:spacing w:before="120" w:after="240" w:line="360" w:lineRule="auto"/>
        <w:jc w:val="center"/>
        <w:rPr>
          <w:rFonts w:ascii="Arial" w:eastAsia="Calibri" w:hAnsi="Arial" w:cs="Arial"/>
          <w:b/>
          <w:sz w:val="32"/>
        </w:rPr>
      </w:pPr>
      <w:r>
        <w:rPr>
          <w:rFonts w:ascii="Arial" w:eastAsia="Calibri" w:hAnsi="Arial" w:cs="Arial"/>
          <w:b/>
          <w:sz w:val="32"/>
        </w:rPr>
        <w:t>80.</w:t>
      </w:r>
    </w:p>
    <w:p w:rsidR="00A13F0A" w:rsidRPr="00A13F0A" w:rsidRDefault="00A13F0A" w:rsidP="0068243F">
      <w:pPr>
        <w:spacing w:after="0" w:line="360" w:lineRule="auto"/>
        <w:jc w:val="both"/>
        <w:rPr>
          <w:rFonts w:ascii="Arial" w:eastAsia="Calibri" w:hAnsi="Arial" w:cs="Arial"/>
          <w:b/>
          <w:i/>
          <w:sz w:val="24"/>
        </w:rPr>
      </w:pPr>
      <w:r w:rsidRPr="00A13F0A">
        <w:rPr>
          <w:rFonts w:ascii="Arial" w:eastAsia="Calibri" w:hAnsi="Arial" w:cs="Arial"/>
          <w:b/>
          <w:sz w:val="24"/>
        </w:rPr>
        <w:t>Licitação de obra pública: 1 – A abertura de oportunidade para apresentação de nova proposta de preços apenas à licitante vencedora da licitação, quando todas as propostas estiverem acima dos valores estimados pela instituição contratante, viola o inciso II e § 3º do art. 48</w:t>
      </w:r>
    </w:p>
    <w:p w:rsidR="00A13F0A" w:rsidRPr="00A13F0A" w:rsidRDefault="00A13F0A" w:rsidP="0068243F">
      <w:pPr>
        <w:spacing w:after="0" w:line="360" w:lineRule="auto"/>
        <w:jc w:val="both"/>
        <w:rPr>
          <w:rFonts w:ascii="Arial" w:eastAsia="Calibri" w:hAnsi="Arial" w:cs="Arial"/>
          <w:b/>
          <w:i/>
          <w:sz w:val="24"/>
        </w:rPr>
      </w:pPr>
      <w:r w:rsidRPr="00A13F0A">
        <w:rPr>
          <w:rFonts w:ascii="Arial" w:eastAsia="Calibri" w:hAnsi="Arial" w:cs="Arial"/>
          <w:sz w:val="24"/>
        </w:rPr>
        <w:t>Auditoria efetuada pelo Tribunal junto às Superintendências Regionais do Instituto Nacional de Colonização e Reforma Agrária - INCRA em Belém-PA e Santarém-PA, com vistas a fiscalizar a execução de obras de Urbanização de Projetos de Assentamentos. Dentre as razões que levaram à audiência de diversos responsáveis, constou a aceitação e a classificação de propostas apresentadas em uma licitação, com valores superiores aos custos estimados no projeto básico, com posterior abertura, somente à primeira colocada, de oportunidade de oferta de redução do valor da proposta, atinente ao projeto básico. Para o relator, tal procedimento teria violado o art. 48, inciso II e § 3º, da Lei nº 8.666/1993, pois “</w:t>
      </w:r>
      <w:r w:rsidRPr="00A13F0A">
        <w:rPr>
          <w:rFonts w:ascii="Arial" w:eastAsia="Calibri" w:hAnsi="Arial" w:cs="Arial"/>
          <w:i/>
          <w:sz w:val="24"/>
        </w:rPr>
        <w:t>embora os responsáveis tenham alegado que foi dada oportunidade de redução de preços a todas as licitantes, tal afirmativa não foi acompanhada de qualquer documento comprobatório</w:t>
      </w:r>
      <w:r w:rsidRPr="00A13F0A">
        <w:rPr>
          <w:rFonts w:ascii="Arial" w:eastAsia="Calibri" w:hAnsi="Arial" w:cs="Arial"/>
          <w:sz w:val="24"/>
        </w:rPr>
        <w:t>”</w:t>
      </w:r>
      <w:r w:rsidRPr="00A13F0A">
        <w:rPr>
          <w:rFonts w:ascii="Arial" w:eastAsia="Calibri" w:hAnsi="Arial" w:cs="Arial"/>
          <w:i/>
          <w:sz w:val="24"/>
        </w:rPr>
        <w:t xml:space="preserve">. </w:t>
      </w:r>
      <w:r w:rsidRPr="00A13F0A">
        <w:rPr>
          <w:rFonts w:ascii="Arial" w:eastAsia="Calibri" w:hAnsi="Arial" w:cs="Arial"/>
          <w:sz w:val="24"/>
        </w:rPr>
        <w:t>Por outro lado, ainda para o relator,</w:t>
      </w:r>
      <w:r w:rsidRPr="00A13F0A">
        <w:rPr>
          <w:rFonts w:ascii="Arial" w:eastAsia="Calibri" w:hAnsi="Arial" w:cs="Arial"/>
          <w:i/>
          <w:sz w:val="24"/>
        </w:rPr>
        <w:t xml:space="preserve"> </w:t>
      </w:r>
      <w:r w:rsidRPr="00A13F0A">
        <w:rPr>
          <w:rFonts w:ascii="Arial" w:eastAsia="Calibri" w:hAnsi="Arial" w:cs="Arial"/>
          <w:sz w:val="24"/>
        </w:rPr>
        <w:t>“</w:t>
      </w:r>
      <w:r w:rsidRPr="00A13F0A">
        <w:rPr>
          <w:rFonts w:ascii="Arial" w:eastAsia="Calibri" w:hAnsi="Arial" w:cs="Arial"/>
          <w:i/>
          <w:sz w:val="24"/>
        </w:rPr>
        <w:t>os elementos trazidos aos autos pela equipe de auditoria demonstram que a possibilidade de alteração da proposta original foi disponibilizada somente às licitantes vencedoras de cada lote</w:t>
      </w:r>
      <w:r w:rsidRPr="00A13F0A">
        <w:rPr>
          <w:rFonts w:ascii="Arial" w:eastAsia="Calibri" w:hAnsi="Arial" w:cs="Arial"/>
          <w:sz w:val="24"/>
        </w:rPr>
        <w:t xml:space="preserve">”. Diante dessa e de outras irregularidades, entendeu o relator não merecerem ser acolhidas as razões de justificativa apresentadas pelos responsáveis, razão pela qual votou por que lhes fosse aplicada multa, no que foi acompanhado pelo Plenário. </w:t>
      </w:r>
      <w:r w:rsidRPr="00A13F0A">
        <w:rPr>
          <w:rFonts w:ascii="Arial" w:eastAsia="Calibri" w:hAnsi="Arial" w:cs="Arial"/>
          <w:b/>
          <w:i/>
          <w:sz w:val="24"/>
        </w:rPr>
        <w:t>Acórdão n.º 2528/2011-Plenário, TC-010.428/2009-0, rel. Min. José Jorge, 21.09.2011.</w:t>
      </w:r>
    </w:p>
    <w:p w:rsidR="00A13F0A" w:rsidRPr="00A13F0A" w:rsidRDefault="00A13F0A" w:rsidP="0068243F">
      <w:pPr>
        <w:spacing w:before="120" w:after="240" w:line="360" w:lineRule="auto"/>
        <w:jc w:val="both"/>
        <w:rPr>
          <w:rFonts w:ascii="Arial" w:eastAsia="Calibri" w:hAnsi="Arial" w:cs="Arial"/>
          <w:b/>
          <w:i/>
          <w:sz w:val="24"/>
        </w:rPr>
      </w:pPr>
      <w:r w:rsidRPr="00A13F0A">
        <w:rPr>
          <w:rFonts w:ascii="Arial" w:eastAsia="Calibri" w:hAnsi="Arial" w:cs="Arial"/>
          <w:b/>
          <w:sz w:val="24"/>
        </w:rPr>
        <w:t>Licitação de obra pública: 2 – Ainda que não haja vedação legal para a participação em concorrências de empresas com sócios em comum, a fraude à licitação, decorrente da frustração ao caráter competitivo e da quebra do sigilo das propostas, enseja a declaração de inidoneidade das empresas pertencentes a uma mesma pessoa</w:t>
      </w:r>
    </w:p>
    <w:p w:rsidR="00A13F0A" w:rsidRPr="00A13F0A" w:rsidRDefault="00A13F0A" w:rsidP="0068243F">
      <w:pPr>
        <w:spacing w:before="120" w:after="240" w:line="360" w:lineRule="auto"/>
        <w:jc w:val="both"/>
        <w:rPr>
          <w:rFonts w:ascii="Arial" w:eastAsia="Calibri" w:hAnsi="Arial" w:cs="Arial"/>
          <w:b/>
          <w:i/>
          <w:sz w:val="24"/>
        </w:rPr>
      </w:pPr>
      <w:r w:rsidRPr="00A13F0A">
        <w:rPr>
          <w:rFonts w:ascii="Arial" w:eastAsia="Calibri" w:hAnsi="Arial" w:cs="Arial"/>
          <w:sz w:val="24"/>
        </w:rPr>
        <w:t>Ainda na auditoria efetuada pelo Tribunal junto às Superintendências Regionais do Instituto Nacional de Colonização e Reforma Agrária - INCRA em Belém-PA e Santarém-PA, outra irregularidade que levou à audiência dos responsáveis foi a não observância, na Concorrência nº 02/2008, da composição societária de duas empresas, as quais, conforme os documentos de habilitação, pertenceriam a uma mesma pessoa. Ao tratar do assunto, o relator, em seu voto, destacou que, em recente deliberação, o Tribunal ratificou entendimento de que “</w:t>
      </w:r>
      <w:r w:rsidRPr="00A13F0A">
        <w:rPr>
          <w:rFonts w:ascii="Arial" w:eastAsia="Calibri" w:hAnsi="Arial" w:cs="Arial"/>
          <w:i/>
          <w:sz w:val="24"/>
        </w:rPr>
        <w:t>não há vedação legal para a participação, em concorrências, de empresas com sócios em comum, devendo, entretanto, tal informação ser confrontada com outras no decorrer do processo licitatório</w:t>
      </w:r>
      <w:r w:rsidRPr="00A13F0A">
        <w:rPr>
          <w:rFonts w:ascii="Arial" w:eastAsia="Calibri" w:hAnsi="Arial" w:cs="Arial"/>
          <w:sz w:val="24"/>
        </w:rPr>
        <w:t>”. Na espécie, ainda consoante o relator, “</w:t>
      </w:r>
      <w:r w:rsidRPr="00A13F0A">
        <w:rPr>
          <w:rFonts w:ascii="Arial" w:eastAsia="Calibri" w:hAnsi="Arial" w:cs="Arial"/>
          <w:i/>
          <w:sz w:val="24"/>
        </w:rPr>
        <w:t>constatou-se que as empresas apresentaram propostas com coincidência de texto, aí incluídos incorreções textuais e valores grafados, sendo também muito próximos os preços por elas oferecidos, nos lotes VI e VIII, em que eram as únicas participantes, o que obviamente deveria ter chamado a atenção dos responsáveis pelo certame, ante o comprometimento da lisura do certame pela frustração ao caráter competitivo e o princípio do sigilo das propostas</w:t>
      </w:r>
      <w:r w:rsidRPr="00A13F0A">
        <w:rPr>
          <w:rFonts w:ascii="Arial" w:eastAsia="Calibri" w:hAnsi="Arial" w:cs="Arial"/>
          <w:sz w:val="24"/>
        </w:rPr>
        <w:t>”. Além disso, para o relator, “</w:t>
      </w:r>
      <w:r w:rsidRPr="00A13F0A">
        <w:rPr>
          <w:rFonts w:ascii="Arial" w:eastAsia="Calibri" w:hAnsi="Arial" w:cs="Arial"/>
          <w:i/>
          <w:sz w:val="24"/>
        </w:rPr>
        <w:t>diante da configuração de fraude à licitação, afigura-se-me pertinente a declaração de inidoneidade das referidas empresas, conforme proposto pela unidade técnica</w:t>
      </w:r>
      <w:r w:rsidRPr="00A13F0A">
        <w:rPr>
          <w:rFonts w:ascii="Arial" w:eastAsia="Calibri" w:hAnsi="Arial" w:cs="Arial"/>
          <w:sz w:val="24"/>
        </w:rPr>
        <w:t xml:space="preserve">”. Assim, diante dessa e de outras irregularidades, entendeu o relator não merecerem ser acolhidas as razões de justificativa apresentadas pelos responsáveis, razão pela qual votou por que lhes fosse aplicada multa, no que foi acompanhado pelo Plenário, que também anuiu à proposta de declaração de inidoneidade das empresas participantes da fraude. </w:t>
      </w:r>
      <w:r w:rsidRPr="00A13F0A">
        <w:rPr>
          <w:rFonts w:ascii="Arial" w:eastAsia="Calibri" w:hAnsi="Arial" w:cs="Arial"/>
          <w:b/>
          <w:i/>
          <w:sz w:val="24"/>
        </w:rPr>
        <w:t>Acórdão n.º 2528/2011-Plenário, TC-010.428/2009-0, rel. Min. José Jorge, 21.09.2011.</w:t>
      </w:r>
    </w:p>
    <w:p w:rsidR="00A13F0A" w:rsidRPr="00A13F0A" w:rsidRDefault="00A13F0A" w:rsidP="0068243F">
      <w:pPr>
        <w:spacing w:after="0" w:line="360" w:lineRule="auto"/>
        <w:jc w:val="both"/>
        <w:rPr>
          <w:rFonts w:ascii="Arial" w:eastAsia="Calibri" w:hAnsi="Arial" w:cs="Arial"/>
          <w:b/>
          <w:sz w:val="24"/>
        </w:rPr>
      </w:pPr>
      <w:r w:rsidRPr="00A13F0A">
        <w:rPr>
          <w:rFonts w:ascii="Arial" w:eastAsia="Calibri" w:hAnsi="Arial" w:cs="Arial"/>
          <w:b/>
          <w:sz w:val="24"/>
        </w:rPr>
        <w:t>Para efeito de observância dos limites de alterações contratuais previstos no art. 65 da Lei nº 8.666/93, o conjunto de reduções e o conjunto de acréscimos devem ser sempre calculados sobre o valor original do contrato, aplicando-se a cada um desses conjuntos, individualmente e sem nenhum tipo de compensação entre eles, os limites de alteração estabelecidos no dispositivo legal</w:t>
      </w:r>
    </w:p>
    <w:p w:rsidR="00A13F0A" w:rsidRDefault="00A13F0A" w:rsidP="0068243F">
      <w:pPr>
        <w:spacing w:after="0" w:line="360" w:lineRule="auto"/>
        <w:jc w:val="both"/>
        <w:rPr>
          <w:rFonts w:ascii="Arial" w:eastAsia="Calibri" w:hAnsi="Arial" w:cs="Arial"/>
          <w:b/>
          <w:i/>
          <w:sz w:val="24"/>
        </w:rPr>
      </w:pPr>
      <w:r w:rsidRPr="00A13F0A">
        <w:rPr>
          <w:rFonts w:ascii="Arial" w:eastAsia="Calibri" w:hAnsi="Arial" w:cs="Arial"/>
          <w:sz w:val="24"/>
        </w:rPr>
        <w:t xml:space="preserve">Mediante pedidos de reexame, diversos responsáveis manifestaram seu inconformismo contra o Acórdão nº 170/2011-Plenário, por meio do qual o Tribunal rejeitou as razões de justificativa por eles apresentadas, aplicando-lhes multa. Na oportunidade, ao examinar o edital da Concorrência nº 01/2004-CPLO/SUPEL/RO, lançada pelo Departamento de Viação e Obras Públicas (DEVOP/RO), via Superintendência Estadual de Licitações, para contratação de serviços de conservação de rodovias, constatou-se que ele não continha o necessário projeto básico, apto a orientar a execução dos serviços, em violação ao inc. I do § 2º do art. 7º da Lei nº 8.666/1993. Em consequência de tal ausência, bem como de projeto executivo, teria havido supressão unilateral nos contratos resultantes do certame de serviços considerados desnecessários, com redução de 18% a 41% do valor originalmente contratado, e acréscimos com percentuais variando de 22% a 56%, em afronta à alínea ‘b’ do inc. I do art. 65, c/c o § 1º do art. 65, da Lei nº 8.666/1993. Para a unidade técnica responsável pelo feito, a irregularidade consistiria no fato de </w:t>
      </w:r>
      <w:r w:rsidRPr="00A13F0A">
        <w:rPr>
          <w:rFonts w:ascii="Arial" w:eastAsia="Calibri" w:hAnsi="Arial" w:cs="Arial"/>
          <w:i/>
          <w:sz w:val="24"/>
        </w:rPr>
        <w:t>“os termos aditivos aos contratos da CP 01/2004-CPLO/SUPEL/RO não terem considerado em sua memória de cálculo o percentual de supressão de serviços separadamente do percentual de acréscimo, e que a metodologia utilizada pelo DEVOP/RO demonstra que houve uma compensação entre supressões e acréscimos, sendo o resultado encontrado aditivado”</w:t>
      </w:r>
      <w:r w:rsidRPr="00A13F0A">
        <w:rPr>
          <w:rFonts w:ascii="Arial" w:eastAsia="Calibri" w:hAnsi="Arial" w:cs="Arial"/>
          <w:sz w:val="24"/>
        </w:rPr>
        <w:t>. Já para o relator, além de violação à norma legal, “</w:t>
      </w:r>
      <w:r w:rsidRPr="00A13F0A">
        <w:rPr>
          <w:rFonts w:ascii="Arial" w:eastAsia="Calibri" w:hAnsi="Arial" w:cs="Arial"/>
          <w:i/>
          <w:sz w:val="24"/>
        </w:rPr>
        <w:t>tal procedimento não encontra guarida na jurisprudência do TCU, tendo sido consolidado, no âmbito desta Corte, o entendimento de que, para efeito de observância dos limites de alterações contratuais previstos no art. 65 da Lei nº 8.666/93, devem ser consideradas as reduções e supressões de quantitativos de forma isolada, ou seja, o conjunto de reduções e o conjunto de acréscimos devem ser sempre calculados sobre o valor original do contrato, aplicando-se a cada um desses conjuntos, individualmente e sem nenhum tipo de compensação entre eles, os limites de alteração estabelecidos no supracitado dispositivo legal</w:t>
      </w:r>
      <w:r w:rsidRPr="00A13F0A">
        <w:rPr>
          <w:rFonts w:ascii="Arial" w:eastAsia="Calibri" w:hAnsi="Arial" w:cs="Arial"/>
          <w:sz w:val="24"/>
        </w:rPr>
        <w:t xml:space="preserve">”. Por conseguinte, votou pelo não provimento dos pedidos de reexame manejados, no que foi acompanhado pelos demais ministros. </w:t>
      </w:r>
      <w:r w:rsidRPr="00A13F0A">
        <w:rPr>
          <w:rFonts w:ascii="Arial" w:eastAsia="Calibri" w:hAnsi="Arial" w:cs="Arial"/>
          <w:b/>
          <w:i/>
          <w:sz w:val="24"/>
        </w:rPr>
        <w:t>Acórdão n.º 2530/2011-Plenário, TC-015.678/2005-3, rel. Min. José Jorge, 21.09.2011.</w:t>
      </w:r>
    </w:p>
    <w:p w:rsidR="00A13F0A" w:rsidRPr="00A13F0A" w:rsidRDefault="00A13F0A" w:rsidP="0068243F">
      <w:pPr>
        <w:spacing w:after="0" w:line="360" w:lineRule="auto"/>
        <w:jc w:val="both"/>
        <w:rPr>
          <w:rFonts w:ascii="Arial" w:eastAsia="Calibri" w:hAnsi="Arial" w:cs="Arial"/>
          <w:b/>
          <w:i/>
          <w:sz w:val="24"/>
        </w:rPr>
      </w:pPr>
    </w:p>
    <w:p w:rsidR="00A13F0A" w:rsidRPr="00A13F0A" w:rsidRDefault="00A13F0A" w:rsidP="0068243F">
      <w:pPr>
        <w:spacing w:after="0" w:line="360" w:lineRule="auto"/>
        <w:jc w:val="both"/>
        <w:rPr>
          <w:rFonts w:ascii="Arial" w:eastAsia="Calibri" w:hAnsi="Arial" w:cs="Arial"/>
          <w:b/>
          <w:sz w:val="24"/>
        </w:rPr>
      </w:pPr>
      <w:r w:rsidRPr="00A13F0A">
        <w:rPr>
          <w:rFonts w:ascii="Arial" w:eastAsia="Calibri" w:hAnsi="Arial" w:cs="Arial"/>
          <w:b/>
          <w:sz w:val="24"/>
        </w:rPr>
        <w:t>A composição do BDI deve ser estabelecida de acordo com o tipo de obra pública a ser contratada, conforme as premissas teóricas estabelecidas no Acórdão nº 2369/2011, do Plenário do Tribunal</w:t>
      </w:r>
    </w:p>
    <w:p w:rsidR="00A13F0A" w:rsidRPr="00A13F0A" w:rsidRDefault="00A13F0A" w:rsidP="0068243F">
      <w:pPr>
        <w:spacing w:after="0" w:line="360" w:lineRule="auto"/>
        <w:jc w:val="both"/>
        <w:rPr>
          <w:rFonts w:ascii="Arial" w:eastAsia="Calibri" w:hAnsi="Arial" w:cs="Arial"/>
          <w:sz w:val="24"/>
        </w:rPr>
      </w:pPr>
      <w:r w:rsidRPr="00A13F0A">
        <w:rPr>
          <w:rFonts w:ascii="Arial" w:eastAsia="Calibri" w:hAnsi="Arial" w:cs="Arial"/>
          <w:sz w:val="24"/>
        </w:rPr>
        <w:t>Mediante consulta, o então Ministro de Estado das Cidades formulou questionamentos ao Tribunal, no tocante a vários assuntos relacionados a procedimentos a serem adotados por aquele Ministério no que concerne às descentralizações de recursos orçamentários efetivadas para entes federados, em especial aqueles liberados por intermédio da Caixa Econômica Federal – (CAIXA), com pactuação de contratos de repasse ou termos de compromisso. Após ponderação do relator, os assuntos a serem examinados pelo TCU foram divididos em diversos grupos temáticos, sendo um deles relativo aos “Gastos com Taxa de Bonificação e Despesas Indiretas – BDI”, com relação ao qual foi apresentada dúvida de se os percentuais para BDI fixados no Acórdão n. 325/2007 – Plenário seriam aplicáveis para qualquer tipo de obra ou deveriam ser observados somente em obras de linhas de transmissão ou de subestações. A respeito disso, o relator registrou que “</w:t>
      </w:r>
      <w:r w:rsidRPr="00A13F0A">
        <w:rPr>
          <w:rFonts w:ascii="Arial" w:eastAsia="Calibri" w:hAnsi="Arial" w:cs="Arial"/>
          <w:i/>
          <w:sz w:val="24"/>
        </w:rPr>
        <w:t>há peculiaridades de cada empreendimento que repercutem no cômputo das despesas que compõem o BDI, de tal forma que não é tecnicamente adequado utilizar o Acórdão n. 325/2007 – Plenário em outros tipos de obras que não sejam de implantação de linhas de transmissão de energia elétrica e de subestações</w:t>
      </w:r>
      <w:r w:rsidRPr="00A13F0A">
        <w:rPr>
          <w:rFonts w:ascii="Arial" w:eastAsia="Calibri" w:hAnsi="Arial" w:cs="Arial"/>
          <w:sz w:val="24"/>
        </w:rPr>
        <w:t>”. Contudo, destacou que, na prolação do Acórdão nº 2369/2011, do Plenário, foram mantidas as premissas teóricas que embasaram o Acórdão n. 325/2007–Plenário, com ajustes no tocante à fórmula adotada para o cálculo da taxa de BDI.  Assim, deveriam ser estabelecidas, no entender do relator, várias faixas de aceitabilidade para os itens que compõem o BDI de cada um dos seguintes tipos de obras: edificação (construção e reforma); obras hídricas (irrigação, canais, saneamento básico, redes adutoras, estações de tratamento e elevatórias); obras portuárias (estruturas portuárias); obras aeroportuárias (pátios, pistas de pouso, terminais de passageiros), conforme os entendimentos contidos no Acórdão nº 2369/2011-Plenário</w:t>
      </w:r>
      <w:r w:rsidRPr="00A13F0A">
        <w:rPr>
          <w:rFonts w:ascii="Arial" w:eastAsia="Calibri" w:hAnsi="Arial" w:cs="Arial"/>
          <w:b/>
          <w:sz w:val="24"/>
        </w:rPr>
        <w:t xml:space="preserve">, decisum </w:t>
      </w:r>
      <w:r w:rsidRPr="00A13F0A">
        <w:rPr>
          <w:rFonts w:ascii="Arial" w:eastAsia="Calibri" w:hAnsi="Arial" w:cs="Arial"/>
          <w:sz w:val="24"/>
        </w:rPr>
        <w:t xml:space="preserve">o qual, ainda, determinou a instauração no âmbito do Tribunal de grupo interdisciplinar, para realizar análise pormenorizada das composições do BDI para os diversos tipos de obras especificados, com vistas a se verificar se há necessidade de serem efetuados ajustes futuros. Por conseguinte, propôs o relator que fosse respondido ao consulente que, até que este Tribunal delibere acerca das conclusões do grupo de trabalho formado em atendimento ao Acórdão n. 2.369/2011– Plenário, os parâmetros a serem utilizados pelo Ministério das Cidades para análise da adequabilidade das taxas de BDI pactuadas em obras custeadas com recursos federais devem ser, além dos referenciais contidos no item 9.2 do Acórdão n. 325/2007 – Plenário, estritamente para obras de linhas de transmissão de energia elétrica e de subestações, as tabelas indicadas no subitem 9.3.2 do Acórdão n. 2.369/2011– Plenário específicas para cada tipo de empreendimento, o que foi aprovado pelo Plenário. </w:t>
      </w:r>
      <w:r w:rsidRPr="00A13F0A">
        <w:rPr>
          <w:rFonts w:ascii="Arial" w:eastAsia="Calibri" w:hAnsi="Arial" w:cs="Arial"/>
          <w:b/>
          <w:i/>
          <w:sz w:val="24"/>
        </w:rPr>
        <w:t>Acórdão n.º 2545/2011-Plenário, TC-030.336/2010-4, rel. Min.-Subst. Marcos Bemquerer Costa, 21.09.2011.</w:t>
      </w:r>
    </w:p>
    <w:p w:rsidR="00B21CE2" w:rsidRPr="00590CA3" w:rsidRDefault="00B21CE2" w:rsidP="0068243F">
      <w:pPr>
        <w:spacing w:before="120" w:after="240" w:line="360" w:lineRule="auto"/>
        <w:jc w:val="both"/>
        <w:rPr>
          <w:rFonts w:ascii="Arial" w:eastAsia="Calibri" w:hAnsi="Arial" w:cs="Arial"/>
          <w:sz w:val="24"/>
        </w:rPr>
      </w:pPr>
    </w:p>
    <w:p w:rsidR="000B67A5" w:rsidRPr="00590CA3" w:rsidRDefault="000B67A5" w:rsidP="0068243F">
      <w:pPr>
        <w:spacing w:before="120" w:after="240" w:line="360" w:lineRule="auto"/>
        <w:jc w:val="center"/>
        <w:rPr>
          <w:rFonts w:ascii="Arial" w:eastAsia="Calibri" w:hAnsi="Arial" w:cs="Arial"/>
          <w:b/>
          <w:sz w:val="32"/>
        </w:rPr>
      </w:pPr>
      <w:r>
        <w:rPr>
          <w:rFonts w:ascii="Arial" w:eastAsia="Calibri" w:hAnsi="Arial" w:cs="Arial"/>
          <w:b/>
          <w:sz w:val="32"/>
        </w:rPr>
        <w:t>81.</w:t>
      </w:r>
    </w:p>
    <w:p w:rsidR="000B67A5" w:rsidRPr="000B67A5" w:rsidRDefault="000B67A5" w:rsidP="0068243F">
      <w:pPr>
        <w:spacing w:before="120" w:after="240" w:line="360" w:lineRule="auto"/>
        <w:jc w:val="both"/>
        <w:rPr>
          <w:rFonts w:ascii="Arial" w:eastAsia="Calibri" w:hAnsi="Arial" w:cs="Arial"/>
          <w:b/>
          <w:sz w:val="24"/>
        </w:rPr>
      </w:pPr>
      <w:r w:rsidRPr="000B67A5">
        <w:rPr>
          <w:rFonts w:ascii="Arial" w:eastAsia="Calibri" w:hAnsi="Arial" w:cs="Arial"/>
          <w:b/>
          <w:sz w:val="24"/>
        </w:rPr>
        <w:t>A contratação direta com base na emergência prevista no inc. IV do art. 24 da Lei 8.666/1993 deve ser adequadamente justificada, de maneira a se afastar qualquer tipo de dúvida quanto à regularidade no uso do dispositivo</w:t>
      </w:r>
    </w:p>
    <w:p w:rsidR="000B67A5" w:rsidRPr="000B67A5" w:rsidRDefault="000B67A5" w:rsidP="0068243F">
      <w:pPr>
        <w:spacing w:before="120" w:after="240" w:line="360" w:lineRule="auto"/>
        <w:jc w:val="both"/>
        <w:rPr>
          <w:rFonts w:ascii="Arial" w:eastAsia="Calibri" w:hAnsi="Arial" w:cs="Arial"/>
          <w:b/>
          <w:i/>
          <w:sz w:val="24"/>
        </w:rPr>
      </w:pPr>
      <w:r w:rsidRPr="000B67A5">
        <w:rPr>
          <w:rFonts w:ascii="Arial" w:eastAsia="Calibri" w:hAnsi="Arial" w:cs="Arial"/>
          <w:bCs/>
          <w:sz w:val="24"/>
        </w:rPr>
        <w:t xml:space="preserve">Mediante representação que noticiou ao TCU irregularidades em processo de contratação por dispensa de licitação, em caráter emergencial, de empresa </w:t>
      </w:r>
      <w:r w:rsidRPr="000B67A5">
        <w:rPr>
          <w:rFonts w:ascii="Arial" w:eastAsia="Calibri" w:hAnsi="Arial" w:cs="Arial"/>
          <w:sz w:val="24"/>
        </w:rPr>
        <w:t>para execução</w:t>
      </w:r>
      <w:r w:rsidRPr="000B67A5">
        <w:rPr>
          <w:rFonts w:ascii="Arial" w:eastAsia="Calibri" w:hAnsi="Arial" w:cs="Arial"/>
          <w:bCs/>
          <w:sz w:val="24"/>
        </w:rPr>
        <w:t xml:space="preserve"> das obras de reforma e adequação do antigo terminal de cargas da empresa Vasp, no Aeroporto de Guarulhos/SP, de modo a transformá-lo em terminal remoto de passageiros, apurou-se </w:t>
      </w:r>
      <w:r w:rsidRPr="000B67A5">
        <w:rPr>
          <w:rFonts w:ascii="Arial" w:eastAsia="Calibri" w:hAnsi="Arial" w:cs="Arial"/>
          <w:sz w:val="24"/>
        </w:rPr>
        <w:t>o fato de a contratação ter se fundamentado na emergência prevista no art. 24, inciso IV, da Lei 8.666/1993. Para o relator, a situação deveria ser analisada sob dois aspectos: a ocorrência da suposta situação emergencial e a possível falta de planejamento, que levara à contratação emergencial. Quanto a este último, concluiu o relator que deveria ser ouvido o Presidente da Infraero em 2009 e 2010, período em que o aeroporto experimentava expressivo crescimento no volume de passageiros processados, sendo que as medidas tomadas naquele tempo para aumentar sua capacidade teriam se mostrado incipientes, sem atacar o problema do excesso de passageiros de maneira efetiva, culminando com a alegada situação de emergência que fundamentou a dispensa da licitação.  Já com relação à alegada emergência, considerou o relator não ter ficado esta devidamente comprovada, “</w:t>
      </w:r>
      <w:r w:rsidRPr="000B67A5">
        <w:rPr>
          <w:rFonts w:ascii="Arial" w:eastAsia="Calibri" w:hAnsi="Arial" w:cs="Arial"/>
          <w:i/>
          <w:sz w:val="24"/>
        </w:rPr>
        <w:t>porquanto não evidenciado que haviam se esgotado todas as medidas possíveis de serem adotadas e, ainda assim, permanecesse a possibilidade de prejuízo ou comprometimento da segurança de pessoas, obras, serviços, equipamentos e outros bens, públicos ou particulares</w:t>
      </w:r>
      <w:r w:rsidRPr="000B67A5">
        <w:rPr>
          <w:rFonts w:ascii="Arial" w:eastAsia="Calibri" w:hAnsi="Arial" w:cs="Arial"/>
          <w:sz w:val="24"/>
        </w:rPr>
        <w:t>”. Para o relator, “</w:t>
      </w:r>
      <w:r w:rsidRPr="000B67A5">
        <w:rPr>
          <w:rFonts w:ascii="Arial" w:eastAsia="Calibri" w:hAnsi="Arial" w:cs="Arial"/>
          <w:i/>
          <w:sz w:val="24"/>
        </w:rPr>
        <w:t>se houvessem sido implementadas tais medidas e outras que se mostrassem adequadas e viáveis, poderia não haver a necessidade da contratação açodada da obra, sob a justificativa de atender a possível demanda superior à capacidade existente no momento</w:t>
      </w:r>
      <w:r w:rsidRPr="000B67A5">
        <w:rPr>
          <w:rFonts w:ascii="Arial" w:eastAsia="Calibri" w:hAnsi="Arial" w:cs="Arial"/>
          <w:sz w:val="24"/>
        </w:rPr>
        <w:t xml:space="preserve">”. Por conseguinte, votou por que se promovesse a audiência do atual dirigente da Infraero, para que apresentasse as razões de justificativas sobre a contratação realizada, com dispensa de licitação, fundamentada no art. 24, inciso IV, da Lei 8.666/1993, porquanto não demonstrado, adequadamente, o enquadramento da situação de emergência, nos contornos delineados no mencionado dispositivo legal e na jurisprudência do Tribunal. Nos termos do voto do relator, o Plenário manifestou sua anuência. </w:t>
      </w:r>
      <w:r w:rsidRPr="000B67A5">
        <w:rPr>
          <w:rFonts w:ascii="Arial" w:eastAsia="Calibri" w:hAnsi="Arial" w:cs="Arial"/>
          <w:b/>
          <w:i/>
          <w:sz w:val="24"/>
        </w:rPr>
        <w:t>Acórdão n.º 2614/2011-Plenário, TC-020.880/2011-1, rel. Min. Aroldo Cedraz, 28.09.2011.</w:t>
      </w:r>
    </w:p>
    <w:p w:rsidR="00A050DE" w:rsidRDefault="00314BF8" w:rsidP="0068243F">
      <w:pPr>
        <w:spacing w:before="120" w:after="240" w:line="360" w:lineRule="auto"/>
        <w:jc w:val="center"/>
        <w:rPr>
          <w:rFonts w:ascii="Arial" w:eastAsia="Calibri" w:hAnsi="Arial" w:cs="Arial"/>
          <w:sz w:val="32"/>
        </w:rPr>
      </w:pPr>
      <w:r>
        <w:rPr>
          <w:rFonts w:ascii="Arial" w:eastAsia="Calibri" w:hAnsi="Arial" w:cs="Arial"/>
          <w:sz w:val="32"/>
        </w:rPr>
        <w:t>Jurisprudência do TCU – Excepcionalidade para pagamento antecipado</w:t>
      </w:r>
    </w:p>
    <w:p w:rsidR="003564C8" w:rsidRPr="003564C8" w:rsidRDefault="003564C8" w:rsidP="0068243F">
      <w:pPr>
        <w:spacing w:before="120" w:after="240" w:line="360" w:lineRule="auto"/>
        <w:jc w:val="both"/>
        <w:rPr>
          <w:rFonts w:ascii="Arial" w:eastAsia="Calibri" w:hAnsi="Arial" w:cs="Arial"/>
          <w:b/>
          <w:sz w:val="24"/>
        </w:rPr>
      </w:pPr>
      <w:r w:rsidRPr="003564C8">
        <w:rPr>
          <w:rFonts w:ascii="Arial" w:eastAsia="Calibri" w:hAnsi="Arial" w:cs="Arial"/>
          <w:b/>
          <w:sz w:val="24"/>
        </w:rPr>
        <w:t>Acórdão 2565/2007 - Primeira Câmara</w:t>
      </w:r>
    </w:p>
    <w:p w:rsidR="00314BF8" w:rsidRPr="00314BF8" w:rsidRDefault="00314BF8" w:rsidP="0068243F">
      <w:pPr>
        <w:spacing w:before="120" w:after="240" w:line="360" w:lineRule="auto"/>
        <w:jc w:val="both"/>
        <w:rPr>
          <w:rFonts w:ascii="Arial" w:eastAsia="Calibri" w:hAnsi="Arial" w:cs="Arial"/>
          <w:sz w:val="24"/>
        </w:rPr>
      </w:pPr>
      <w:r w:rsidRPr="00314BF8">
        <w:rPr>
          <w:rFonts w:ascii="Arial" w:eastAsia="Calibri" w:hAnsi="Arial" w:cs="Arial"/>
          <w:sz w:val="24"/>
        </w:rPr>
        <w:t>[RELATÓRIO]</w:t>
      </w:r>
      <w:r w:rsidRPr="00314BF8">
        <w:rPr>
          <w:rFonts w:ascii="Arial" w:eastAsia="Calibri" w:hAnsi="Arial" w:cs="Arial"/>
          <w:sz w:val="24"/>
        </w:rPr>
        <w:br/>
        <w:t>[...]</w:t>
      </w:r>
      <w:r w:rsidRPr="00314BF8">
        <w:rPr>
          <w:rFonts w:ascii="Arial" w:eastAsia="Calibri" w:hAnsi="Arial" w:cs="Arial"/>
          <w:sz w:val="24"/>
        </w:rPr>
        <w:br/>
        <w:t>50. Como regra, o pagamento feito pela Administração é devido somente após o cumprimento da obrigação pelo particular, por determinação do art. 62 da Lei nº 4.320/1964. A antecipação de pagamentos é prática que deve ser rejeitada no âmbito do serviço público, para evitar beneficiamentos ilícitos e possibilitar a verificação do cumprimento do serviço contratado, antes do efetivo desembolso.</w:t>
      </w:r>
      <w:r w:rsidRPr="00314BF8">
        <w:rPr>
          <w:rFonts w:ascii="Arial" w:eastAsia="Calibri" w:hAnsi="Arial" w:cs="Arial"/>
          <w:sz w:val="24"/>
        </w:rPr>
        <w:br/>
        <w:t>[...]</w:t>
      </w:r>
      <w:r w:rsidRPr="00314BF8">
        <w:rPr>
          <w:rFonts w:ascii="Arial" w:eastAsia="Calibri" w:hAnsi="Arial" w:cs="Arial"/>
          <w:sz w:val="24"/>
        </w:rPr>
        <w:br/>
        <w:t>53. Essa Corte de Contas já firmou entendimento no sentido de que a antecipação de pagamento somente deve ser admitida em situações excepcionais, devidamente justificadas pela Administração, ocasião em que deve ficar demonstrada a existência de interesse público, obedecidos os critérios e exceções expressamente previstos pela legislação que rege a matéria, quais sejam, existência de previsão no edital de licitação ou nos instrumentos formais de adjudicação direta e as indispensáveis cautelas e garantias.</w:t>
      </w:r>
      <w:r w:rsidRPr="00314BF8">
        <w:rPr>
          <w:rFonts w:ascii="Arial" w:eastAsia="Calibri" w:hAnsi="Arial" w:cs="Arial"/>
          <w:sz w:val="24"/>
        </w:rPr>
        <w:br/>
        <w:t>[...]</w:t>
      </w:r>
      <w:r w:rsidRPr="00314BF8">
        <w:rPr>
          <w:rFonts w:ascii="Arial" w:eastAsia="Calibri" w:hAnsi="Arial" w:cs="Arial"/>
          <w:sz w:val="24"/>
        </w:rPr>
        <w:br/>
        <w:t>[ACÓRDÃO]</w:t>
      </w:r>
      <w:r w:rsidRPr="00314BF8">
        <w:rPr>
          <w:rFonts w:ascii="Arial" w:eastAsia="Calibri" w:hAnsi="Arial" w:cs="Arial"/>
          <w:sz w:val="24"/>
        </w:rPr>
        <w:br/>
        <w:t>9.2. determinar à Secretaria Nacional de Segurança Pública - Senasp que se abstenha de realizar pagamentos antecipados de fornecimento de materiais, de execução de obras e de prestação de serviços, devendo os procedimentos de liquidação de despesa observar os ditames dos arts. 62 e 63 da Lei nº 4.320, de 17/03/1964, exceto quando restar comprovada a existência de interesse público devidamente demonstrado, houver previsão nos documentos formais de adjudicação e forem exigidas as devidas cautelas e garantias;</w:t>
      </w:r>
    </w:p>
    <w:p w:rsidR="00A050DE" w:rsidRPr="00590CA3" w:rsidRDefault="00A050DE" w:rsidP="0068243F">
      <w:pPr>
        <w:spacing w:before="120" w:after="240" w:line="360" w:lineRule="auto"/>
        <w:jc w:val="both"/>
        <w:rPr>
          <w:rFonts w:ascii="Arial" w:eastAsia="Calibri" w:hAnsi="Arial" w:cs="Arial"/>
          <w:sz w:val="24"/>
        </w:rPr>
      </w:pPr>
    </w:p>
    <w:p w:rsidR="004570CC" w:rsidRDefault="00C92811" w:rsidP="0068243F">
      <w:pPr>
        <w:spacing w:before="120" w:after="240" w:line="360" w:lineRule="auto"/>
        <w:jc w:val="center"/>
        <w:rPr>
          <w:rFonts w:ascii="Arial" w:eastAsia="Calibri" w:hAnsi="Arial" w:cs="Arial"/>
          <w:b/>
          <w:sz w:val="32"/>
        </w:rPr>
      </w:pPr>
      <w:r>
        <w:rPr>
          <w:rFonts w:ascii="Arial" w:eastAsia="Calibri" w:hAnsi="Arial" w:cs="Arial"/>
          <w:b/>
          <w:sz w:val="32"/>
        </w:rPr>
        <w:t>82.</w:t>
      </w:r>
    </w:p>
    <w:p w:rsidR="00C92811" w:rsidRPr="00C92811" w:rsidRDefault="00C92811" w:rsidP="0068243F">
      <w:pPr>
        <w:spacing w:before="120" w:after="240" w:line="360" w:lineRule="auto"/>
        <w:jc w:val="both"/>
        <w:rPr>
          <w:rFonts w:ascii="Arial" w:eastAsia="Calibri" w:hAnsi="Arial" w:cs="Arial"/>
          <w:b/>
          <w:sz w:val="24"/>
        </w:rPr>
      </w:pPr>
      <w:r w:rsidRPr="00C92811">
        <w:rPr>
          <w:rFonts w:ascii="Arial" w:eastAsia="Calibri" w:hAnsi="Arial" w:cs="Arial"/>
          <w:b/>
          <w:sz w:val="24"/>
        </w:rPr>
        <w:t>O início de procedimento licitatório cujo valor estimativo seja superior a 150 milhões de reais deve ser antecedido da audiência pública, ante o que estabelece o art. 39 da Lei 8.666/1993</w:t>
      </w:r>
    </w:p>
    <w:p w:rsidR="00C92811" w:rsidRPr="00C92811" w:rsidRDefault="00C92811" w:rsidP="0068243F">
      <w:pPr>
        <w:spacing w:before="120" w:after="240" w:line="360" w:lineRule="auto"/>
        <w:jc w:val="both"/>
        <w:rPr>
          <w:rFonts w:ascii="Arial" w:eastAsia="Calibri" w:hAnsi="Arial" w:cs="Arial"/>
          <w:sz w:val="24"/>
        </w:rPr>
      </w:pPr>
      <w:r w:rsidRPr="00C92811">
        <w:rPr>
          <w:rFonts w:ascii="Arial" w:eastAsia="Calibri" w:hAnsi="Arial" w:cs="Arial"/>
          <w:sz w:val="24"/>
        </w:rPr>
        <w:t>Por meio de auditoria realizada nas obras de construção da Ferrovia Norte-Sul (FNS), extensão sul, no trecho entre Ouro Verde de Goiás e Estrela do Oeste no estado de São Paulo, levadas à efeito pela Valec - Engenharia, Construções e Ferrovias S.A, o Tribunal verificou, dentre outras potenciais irregularidades que levaram à oitiva de diversos responsáveis da estatal, a abertura do procedimento licitatório referente às obras, sem que fosse promovida a audiência pública estabelecida no art. 39 da Lei 8.666/1993, que seria obrigatória, em face do valor envolvido. Para a unidade técnica, a despeito da não realização da audiência não ter restringido a concorrência na licitação, teria havido gravidade suficiente em tal omissão por parte dos gestores da Valec a justificar sua apenação com a multa prevista na Lei Orgânica do TCU, do que, entretanto, divergiu o relator. Para ele, apesar de as defesas apresentadas serem insuficientes para justificarem a não realização da audiência, as condutas percebidas não determinariam aplicação de multas aos responsáveis, já que não haveria notícia nos autos de que a falha tivesse acarretado outros problemas para o empreendimento. Por conseguinte, apesar de não encampar a proposta da unidade técnica de se aplicar multa aos responsáveis, votou o relator por que fosse dado ciência à Valec de que o “</w:t>
      </w:r>
      <w:r w:rsidRPr="00C92811">
        <w:rPr>
          <w:rFonts w:ascii="Arial" w:eastAsia="Calibri" w:hAnsi="Arial" w:cs="Arial"/>
          <w:i/>
          <w:sz w:val="24"/>
        </w:rPr>
        <w:t>início de procedimento licitatório cujo valor estimado de contratação seja superior ao limite estipulado no art. 39 da Lei 8.666/93 deve ser antecedido da audiência pública prevista naquele dispositivo legal</w:t>
      </w:r>
      <w:r w:rsidRPr="00C92811">
        <w:rPr>
          <w:rFonts w:ascii="Arial" w:eastAsia="Calibri" w:hAnsi="Arial" w:cs="Arial"/>
          <w:sz w:val="24"/>
        </w:rPr>
        <w:t xml:space="preserve">”, no que contou com a anuência do Plenário. </w:t>
      </w:r>
      <w:r w:rsidRPr="00C92811">
        <w:rPr>
          <w:rFonts w:ascii="Arial" w:eastAsia="Calibri" w:hAnsi="Arial" w:cs="Arial"/>
          <w:b/>
          <w:i/>
          <w:sz w:val="24"/>
        </w:rPr>
        <w:t>Acórdão n.º 2690/2011-Plenário, TC-010.098/2010-0, rel. Min.-Subst. Augusto Sherman Cavalcanti, 05.10.2011.</w:t>
      </w:r>
    </w:p>
    <w:p w:rsidR="00C92811" w:rsidRPr="00C92811" w:rsidRDefault="00C92811" w:rsidP="0068243F">
      <w:pPr>
        <w:spacing w:before="120" w:after="240" w:line="360" w:lineRule="auto"/>
        <w:jc w:val="both"/>
        <w:rPr>
          <w:rFonts w:ascii="Arial" w:eastAsia="Calibri" w:hAnsi="Arial" w:cs="Arial"/>
          <w:sz w:val="24"/>
        </w:rPr>
      </w:pPr>
    </w:p>
    <w:p w:rsidR="0049060C" w:rsidRDefault="000B3F82" w:rsidP="0068243F">
      <w:pPr>
        <w:spacing w:before="120" w:after="240" w:line="360" w:lineRule="auto"/>
        <w:jc w:val="center"/>
        <w:rPr>
          <w:rFonts w:ascii="Arial" w:eastAsia="Calibri" w:hAnsi="Arial" w:cs="Arial"/>
          <w:b/>
          <w:sz w:val="32"/>
        </w:rPr>
      </w:pPr>
      <w:r>
        <w:rPr>
          <w:rFonts w:ascii="Arial" w:eastAsia="Calibri" w:hAnsi="Arial" w:cs="Arial"/>
          <w:b/>
          <w:sz w:val="32"/>
        </w:rPr>
        <w:t>83.</w:t>
      </w:r>
    </w:p>
    <w:p w:rsidR="000B3F82" w:rsidRPr="000B3F82" w:rsidRDefault="000B3F82" w:rsidP="0068243F">
      <w:pPr>
        <w:spacing w:before="120" w:after="240" w:line="360" w:lineRule="auto"/>
        <w:jc w:val="both"/>
        <w:rPr>
          <w:rFonts w:ascii="Arial" w:eastAsia="Calibri" w:hAnsi="Arial" w:cs="Arial"/>
          <w:b/>
          <w:sz w:val="24"/>
        </w:rPr>
      </w:pPr>
      <w:r w:rsidRPr="000B3F82">
        <w:rPr>
          <w:rFonts w:ascii="Arial" w:eastAsia="Calibri" w:hAnsi="Arial" w:cs="Arial"/>
          <w:b/>
          <w:sz w:val="24"/>
        </w:rPr>
        <w:t xml:space="preserve">É indevida a desclassificação, fundada em interpretação extremamente restritiva do edital, de proposta mais vantajosa para a Administração, que contém um único item, correspondente a uma pequena parcela do objeto licitado, com valor acima do limite estabelecido pela entidade </w:t>
      </w:r>
    </w:p>
    <w:p w:rsidR="000B3F82" w:rsidRPr="000B3F82" w:rsidRDefault="000B3F82" w:rsidP="0068243F">
      <w:pPr>
        <w:spacing w:before="120" w:after="240" w:line="360" w:lineRule="auto"/>
        <w:jc w:val="both"/>
        <w:rPr>
          <w:rFonts w:ascii="Arial" w:eastAsia="Calibri" w:hAnsi="Arial" w:cs="Arial"/>
          <w:b/>
          <w:i/>
          <w:sz w:val="24"/>
        </w:rPr>
      </w:pPr>
      <w:r w:rsidRPr="000B3F82">
        <w:rPr>
          <w:rFonts w:ascii="Arial" w:eastAsia="Calibri" w:hAnsi="Arial" w:cs="Arial"/>
          <w:sz w:val="24"/>
        </w:rPr>
        <w:t>Com esse entendimento, o Tribunal julgou procedente representação formulada em face de possíveis irregularidades na desclassificação de proposta de licitante, referente ao primeiro lote da Concorrência Pública n. 416/2010, realizada pelo Departamento Nacional de Infraestrutura de Transportes – (DNIT), a qual teve por objeto a seleção de empresa especializada para execução das obras de construção da ponte sobre o Canal das Laranjeiras, duplicação e restauração dos acessos à ponte na Rodovia BR-101/SC. Após a oitiva do DNIT e do Consórcio vencedor da licitação, o relator apontou que a representante, apesar de ter apresentado proposta de preços inferior à do primeiro colocado, fora desclassificada, por ter orçado um único item preço unitário acima do limite estabelecido pelo DNIT – Lâmpada de Multivapor Metálico elipsoidal, base E-40, potência de 400W, com fluxo luminoso entre 31.000 e 35.000 lumens, IRC de 69 a 100%, temperatura de Cor entre 4.300 e 5.900 K e vida útil de 15.000 horas – o qual correspondeu à 0,01% do orçamento base da licitação. E isso ocorrera em razão do disposto no edital norteador do certame, o qual, em seu o item 17.1, estabelecera que as propostas que apresentassem valores unitários e/ou global, superiores ao limite estabelecido no orçamento estimativo do serviço deveriam ser desclassificadas. Para o relator, a exigência estaria em consonância com a jurisprudência do Tribunal, “</w:t>
      </w:r>
      <w:r w:rsidRPr="000B3F82">
        <w:rPr>
          <w:rFonts w:ascii="Arial" w:eastAsia="Calibri" w:hAnsi="Arial" w:cs="Arial"/>
          <w:i/>
          <w:sz w:val="24"/>
        </w:rPr>
        <w:t>que tem considerado necessária a fixação de critérios de aceitabilidade de preços unitários e a previsão da desclassificação de licitantes que ofertarem valores acima do limite estabelecido, com vistas a evitar a prática do chamado ‘jogo de planilha’</w:t>
      </w:r>
      <w:r w:rsidRPr="000B3F82">
        <w:rPr>
          <w:rFonts w:ascii="Arial" w:eastAsia="Calibri" w:hAnsi="Arial" w:cs="Arial"/>
          <w:sz w:val="24"/>
        </w:rPr>
        <w:t>”. Todavia, não obstante a previsão do edital – de desclassificar a proposta que apresentasse preços unitários superiores aos limites estabelecidos – estivesse na linha da jurisprudência do Tribunal, ainda para o relator, “</w:t>
      </w:r>
      <w:r w:rsidRPr="000B3F82">
        <w:rPr>
          <w:rFonts w:ascii="Arial" w:eastAsia="Calibri" w:hAnsi="Arial" w:cs="Arial"/>
          <w:i/>
          <w:sz w:val="24"/>
        </w:rPr>
        <w:t>essa cláusula deve ser interpretada à luz dos princípios da razoabilidade e da proporcionalidade, em conjunto com os outros dispositivos do instrumento convocatório e com a Lei n. 8.666/1993</w:t>
      </w:r>
      <w:r w:rsidRPr="000B3F82">
        <w:rPr>
          <w:rFonts w:ascii="Arial" w:eastAsia="Calibri" w:hAnsi="Arial" w:cs="Arial"/>
          <w:sz w:val="24"/>
        </w:rPr>
        <w:t xml:space="preserve">”. A desclassificação da proposta, então, não deveria ter sido automática, especialmente porque, ainda conforme o relator do processo, o próprio edital do certame previa a possibilidade de a comissão de licitação adotar medidas para corrigir o preço do item ofertado acima do limite estabelecido pela autarquia como o critério de aceitabilidade das propostas, devendo a empresa ser desclassificada caso se recusasse a aceitar as correções. O procedimento cabível, portanto, seria a correção do valor do item que dera ensejo à desclassificação da proposta da representante, o que importaria no melhor atendimento do interesse público, por selecionar a proposta mais vantajosa para a Administração, sem desrespeitar a obrigatoriedade de vinculação ao instrumento convocatório. Por conseguinte, por entender que a desclassificação da ora representante foi indevida, por ter, com base em interpretação extremamente restritiva do edital, contrariado os princípios da razoabilidade e da proporcionalidade, resultando na seleção de uma proposta menos vantajosa para a Administração, votou o relator por que o Tribunal determinasse ao Dnit a adoção de providências no sentido de tornar sem efeito a desclassificação da representante no âmbito da Concorrência Pública n. 416/2010, e, posteriormente, desse prosseguimento ao certame a partir dessa etapa, atentando para as correções a serem feitas nas composições dos preços unitários apresentados pela referida empresa, o que foi aprovado pelo Plenário. Precedente citado: Acórdão 159/2003, do Plenário. </w:t>
      </w:r>
      <w:r w:rsidRPr="000B3F82">
        <w:rPr>
          <w:rFonts w:ascii="Arial" w:eastAsia="Calibri" w:hAnsi="Arial" w:cs="Arial"/>
          <w:b/>
          <w:i/>
          <w:sz w:val="24"/>
        </w:rPr>
        <w:t>Acórdão n.º 2767/2011-Plenário, TC-025.560/2011-5, rel. Min.-Subst. Marcos Bemquerer Costa, 19.10.2011.</w:t>
      </w:r>
    </w:p>
    <w:p w:rsidR="000B3F82" w:rsidRPr="000B3F82" w:rsidRDefault="000B3F82" w:rsidP="0068243F">
      <w:pPr>
        <w:spacing w:before="120" w:after="240" w:line="360" w:lineRule="auto"/>
        <w:jc w:val="both"/>
        <w:rPr>
          <w:rFonts w:ascii="Arial" w:eastAsia="Calibri" w:hAnsi="Arial" w:cs="Arial"/>
          <w:sz w:val="24"/>
        </w:rPr>
      </w:pPr>
    </w:p>
    <w:p w:rsidR="008E45A9" w:rsidRPr="008E45A9" w:rsidRDefault="008E45A9" w:rsidP="0068243F">
      <w:pPr>
        <w:spacing w:before="120" w:after="240" w:line="360" w:lineRule="auto"/>
        <w:jc w:val="both"/>
        <w:rPr>
          <w:rFonts w:ascii="Arial" w:eastAsia="Calibri" w:hAnsi="Arial" w:cs="Arial"/>
          <w:b/>
          <w:sz w:val="24"/>
        </w:rPr>
      </w:pPr>
      <w:r w:rsidRPr="008E45A9">
        <w:rPr>
          <w:rFonts w:ascii="Arial" w:eastAsia="Calibri" w:hAnsi="Arial" w:cs="Arial"/>
          <w:b/>
          <w:sz w:val="24"/>
        </w:rPr>
        <w:t>A participação em processo licitatório expressamente reservado a microempresas e a empresas de pequeno porte, por sociedade que não se enquadre na definição legal reservada a essas categorias e que apresentou declaração com informações inverídicas a respeito de sua situação jurídica leva à aplicação da sanção de declaração de inidoneidade</w:t>
      </w:r>
    </w:p>
    <w:p w:rsidR="008E45A9" w:rsidRPr="008E45A9" w:rsidRDefault="008E45A9" w:rsidP="0068243F">
      <w:pPr>
        <w:spacing w:before="120" w:after="240" w:line="360" w:lineRule="auto"/>
        <w:jc w:val="both"/>
        <w:rPr>
          <w:rFonts w:ascii="Arial" w:eastAsia="Calibri" w:hAnsi="Arial" w:cs="Arial"/>
          <w:b/>
          <w:i/>
          <w:sz w:val="24"/>
        </w:rPr>
      </w:pPr>
      <w:r w:rsidRPr="008E45A9">
        <w:rPr>
          <w:rFonts w:ascii="Arial" w:eastAsia="Calibri" w:hAnsi="Arial" w:cs="Arial"/>
          <w:sz w:val="24"/>
        </w:rPr>
        <w:t xml:space="preserve">Pedido de reexame interposto por empresa privada contra o Acórdão 2.846/2010 – Plenário, por meio do qual o Tribunal declarou a recorrente inidônea para licitar e contratar com a Administração Pública pelo período de seis meses, em razão de ter vencido licitações destinadas exclusivamente à participação de microempresas (ME) e empresas de pequeno porte (EPP), não obstante ostentar faturamento bruto superior ao limite previsto no art. 3º da Lei Complementar 123/2006 (até R$ 2.400.000,00/ano). Para a unidade técnica, não teriam sido apresentados elementos capazes de reformar a deliberação recorrida, já que, na espécie, a recorrente, no ano de 2008, venceu três certames licitatórios dos quais participara irregularmente, na medida em que eram restritos a ME e EPP. Para tal participação, a recorrente teria apresentado declarações inverídicas de que era cumpridora dos limites previstos na Lei Complementar 123/2006 e de que estava, por conseguinte, apta a usufruir do tratamento favorecido previsto na referida norma legal. Ao examinar os argumentos apresentados, o relator, reiterando os exames feitos pelo relator </w:t>
      </w:r>
      <w:r w:rsidRPr="008E45A9">
        <w:rPr>
          <w:rFonts w:ascii="Arial" w:eastAsia="Calibri" w:hAnsi="Arial" w:cs="Arial"/>
          <w:b/>
          <w:sz w:val="24"/>
        </w:rPr>
        <w:t>a quo</w:t>
      </w:r>
      <w:r w:rsidRPr="008E45A9">
        <w:rPr>
          <w:rFonts w:ascii="Arial" w:eastAsia="Calibri" w:hAnsi="Arial" w:cs="Arial"/>
          <w:sz w:val="24"/>
        </w:rPr>
        <w:t>, consignou, com relação à recorrente, que, “</w:t>
      </w:r>
      <w:r w:rsidRPr="008E45A9">
        <w:rPr>
          <w:rFonts w:ascii="Arial" w:eastAsia="Calibri" w:hAnsi="Arial" w:cs="Arial"/>
          <w:i/>
          <w:sz w:val="24"/>
        </w:rPr>
        <w:t>comprovou-se que seu faturamento bruto era superior ao limite estabelecido para o enquadramento como pequena empresa, que a empresa não solicitou a alteração de seu enquadramento e, por fim, que participou de procedimento licitatório exclusivo para micros e pequenas empresas, vencendo o certame e beneficiando-se de sua própria omissão. Ao não declarar a mudança de enquadramento legal, a organização descumpriu o art. 3º, § 9, da Lei Complementar nº 123/2006, o art. 11 do Decreto nº 6.204/2007 e o art. 1º da Instrução Normativa do Departamento Nacional de Registro do Comércio nº 103/2007. Essa omissão possibilitou à empresa benefícios indevidos específicos de ME ou EPP e a obtenção, na Junta Comercial, da ‘Certidão Simplificada’, documento que viabilizou sua participação em licitações públicas exclusivas para ME ou EPP”</w:t>
      </w:r>
      <w:r w:rsidRPr="008E45A9">
        <w:rPr>
          <w:rFonts w:ascii="Arial" w:eastAsia="Calibri" w:hAnsi="Arial" w:cs="Arial"/>
          <w:sz w:val="24"/>
        </w:rPr>
        <w:t xml:space="preserve">. Por consequência disso, ao entender adequada a sanção de declaração de inidoneidade da empresa para licitar e contratar com a Administração, votou por que se negasse provimento ao recurso manejado, no que foi acompanhado pelo Plenário. Precedentes citados: Acórdãos 1028/2010, 1972/2010 e 2578/2010, todos do Plenário. </w:t>
      </w:r>
      <w:r w:rsidRPr="008E45A9">
        <w:rPr>
          <w:rFonts w:ascii="Arial" w:eastAsia="Calibri" w:hAnsi="Arial" w:cs="Arial"/>
          <w:b/>
          <w:i/>
          <w:sz w:val="24"/>
        </w:rPr>
        <w:t>Acórdão n.º 2756/2011-Plenário, TC-008.552/2010-0, rel. Min. José Múcio Monteiro, 19.10.2011.</w:t>
      </w:r>
    </w:p>
    <w:p w:rsidR="0049060C" w:rsidRPr="00C92811" w:rsidRDefault="0049060C" w:rsidP="0068243F">
      <w:pPr>
        <w:spacing w:before="120" w:after="240" w:line="360" w:lineRule="auto"/>
        <w:jc w:val="both"/>
        <w:rPr>
          <w:rFonts w:ascii="Arial" w:eastAsia="Calibri" w:hAnsi="Arial" w:cs="Arial"/>
          <w:sz w:val="24"/>
        </w:rPr>
      </w:pPr>
    </w:p>
    <w:p w:rsidR="0049060C" w:rsidRDefault="00602D20" w:rsidP="0068243F">
      <w:pPr>
        <w:spacing w:before="120" w:after="240" w:line="360" w:lineRule="auto"/>
        <w:jc w:val="center"/>
        <w:rPr>
          <w:rFonts w:ascii="Arial" w:hAnsi="Arial" w:cs="Arial"/>
          <w:b/>
          <w:sz w:val="32"/>
        </w:rPr>
      </w:pPr>
      <w:r>
        <w:rPr>
          <w:rFonts w:ascii="Arial" w:hAnsi="Arial" w:cs="Arial"/>
          <w:b/>
          <w:sz w:val="32"/>
        </w:rPr>
        <w:t>84.</w:t>
      </w:r>
    </w:p>
    <w:p w:rsidR="00602D20" w:rsidRPr="00602D20" w:rsidRDefault="00602D20" w:rsidP="0068243F">
      <w:pPr>
        <w:spacing w:before="120" w:after="240" w:line="360" w:lineRule="auto"/>
        <w:jc w:val="both"/>
        <w:rPr>
          <w:rFonts w:ascii="Arial" w:eastAsia="Calibri" w:hAnsi="Arial" w:cs="Arial"/>
          <w:b/>
          <w:sz w:val="24"/>
        </w:rPr>
      </w:pPr>
      <w:r w:rsidRPr="00602D20">
        <w:rPr>
          <w:rFonts w:ascii="Arial" w:eastAsia="Calibri" w:hAnsi="Arial" w:cs="Arial"/>
          <w:b/>
          <w:sz w:val="24"/>
        </w:rPr>
        <w:t>Para efeito de observância dos limites de alterações contratuais previstos no art. 65 da Lei nº 8.666/93, o conjunto de reduções e o conjunto de acréscimos devem ser sempre calculados sobre o valor original do contrato, aplicando-se a cada um desses conjuntos, individualmente e sem nenhum tipo de compensação entre eles, os limites de alteração estabelecidos no dispositivo legal</w:t>
      </w:r>
    </w:p>
    <w:p w:rsidR="00602D20" w:rsidRPr="00602D20" w:rsidRDefault="00602D20" w:rsidP="0068243F">
      <w:pPr>
        <w:spacing w:before="120" w:after="240" w:line="360" w:lineRule="auto"/>
        <w:jc w:val="both"/>
        <w:rPr>
          <w:rFonts w:ascii="Arial" w:eastAsia="Calibri" w:hAnsi="Arial" w:cs="Arial"/>
          <w:b/>
          <w:i/>
          <w:sz w:val="24"/>
        </w:rPr>
      </w:pPr>
      <w:r w:rsidRPr="00602D20">
        <w:rPr>
          <w:rFonts w:ascii="Arial" w:eastAsia="Calibri" w:hAnsi="Arial" w:cs="Arial"/>
          <w:sz w:val="24"/>
        </w:rPr>
        <w:t>O Departamento Nacional de Infraestrutura de Transportes - DNIT, por meio de pedido de reexame interposto nos autos de processo de monitoramento, pediu a reforma de determinação contida no subitem 9.2 do Acórdão nº 749/2010, parcialmente alterado pelo Acórdão nº 591/2011-TCU – Plenário. Tal deliberação impôs ao DNIT que: “ ...</w:t>
      </w:r>
      <w:r w:rsidRPr="00602D20">
        <w:rPr>
          <w:rFonts w:ascii="Arial" w:eastAsia="Calibri" w:hAnsi="Arial" w:cs="Arial"/>
          <w:i/>
          <w:iCs/>
          <w:sz w:val="24"/>
        </w:rPr>
        <w:t xml:space="preserve"> para efeito de observância dos limites de alterações contratuais previstos no art. 65 da Lei nº 8.666/1993, passe a considerar as reduções ou supressões de quantitativos de forma isolada, ou seja, o conjunto de reduções e o conjunto de acréscimos devem ser sempre calculados sobre o valor original do contrato, aplicando-se a cada um desses conjuntos, individualmente e sem nenhum tipo de compensação entre eles, os limites de alteração estabelecidos no dispositivo legal"</w:t>
      </w:r>
      <w:r w:rsidRPr="00602D20">
        <w:rPr>
          <w:rFonts w:ascii="Arial" w:eastAsia="Calibri" w:hAnsi="Arial" w:cs="Arial"/>
          <w:sz w:val="24"/>
        </w:rPr>
        <w:t>. Além de contestar a interpretação conferida pelo Tribunal ao citado comando normativo, ponderou que a implementação da referida deliberação levaria a rescisões prematuras e indesejáveis de vários contratos administrativos que estão em execução. O Relator do recurso, Min. Walton Alencar Rodrigues, em seu Voto, consignou que “</w:t>
      </w:r>
      <w:r w:rsidRPr="00602D20">
        <w:rPr>
          <w:rFonts w:ascii="Arial" w:eastAsia="Calibri" w:hAnsi="Arial" w:cs="Arial"/>
          <w:i/>
          <w:sz w:val="24"/>
        </w:rPr>
        <w:t>não assiste razão ao apelante quando defende que os acréscimos e supressões devam ser considerados de forma conjunta e consolidada, a extrair-lhes apenas o resultado financeiro final de aditivos para observar se houve, efetivamente, a extrapolação dos limites de alteração fixados no art. 65, § 1º, da Lei nº 8.666/1993</w:t>
      </w:r>
      <w:r w:rsidRPr="00602D20">
        <w:rPr>
          <w:rFonts w:ascii="Arial" w:eastAsia="Calibri" w:hAnsi="Arial" w:cs="Arial"/>
          <w:sz w:val="24"/>
        </w:rPr>
        <w:t>”. Argumentou que tal interpretação seria contrária à finalidade da norma,</w:t>
      </w:r>
      <w:r w:rsidRPr="00602D20">
        <w:rPr>
          <w:rFonts w:ascii="Arial" w:eastAsia="Calibri" w:hAnsi="Arial" w:cs="Arial"/>
          <w:i/>
          <w:sz w:val="24"/>
        </w:rPr>
        <w:t xml:space="preserve"> </w:t>
      </w:r>
      <w:r w:rsidRPr="00602D20">
        <w:rPr>
          <w:rFonts w:ascii="Arial" w:eastAsia="Calibri" w:hAnsi="Arial" w:cs="Arial"/>
          <w:sz w:val="24"/>
        </w:rPr>
        <w:t>“</w:t>
      </w:r>
      <w:r w:rsidRPr="00602D20">
        <w:rPr>
          <w:rFonts w:ascii="Arial" w:eastAsia="Calibri" w:hAnsi="Arial" w:cs="Arial"/>
          <w:i/>
          <w:sz w:val="24"/>
        </w:rPr>
        <w:t>porquanto significaria coonestar com aparência de legalidade verdadeiras alterações de objeto do contrato, pois a nova conformação do ajuste não fora submetida ao crivo do certame licitatório, frustrando, assim, a oportunidade de potenciais interessados ofertarem propostas de prestação de serviço almejado, com que a Administração Pública, certamente, lograria obter condições mais vantajosas</w:t>
      </w:r>
      <w:r w:rsidRPr="00602D20">
        <w:rPr>
          <w:rFonts w:ascii="Arial" w:eastAsia="Calibri" w:hAnsi="Arial" w:cs="Arial"/>
          <w:sz w:val="24"/>
        </w:rPr>
        <w:t>”. Ressaltou, ainda, que “</w:t>
      </w:r>
      <w:r w:rsidRPr="00602D20">
        <w:rPr>
          <w:rFonts w:ascii="Arial" w:eastAsia="Calibri" w:hAnsi="Arial" w:cs="Arial"/>
          <w:i/>
          <w:sz w:val="24"/>
        </w:rPr>
        <w:t>não satisfeitas cumulativamente as condições estabelecidas pela Decisão nº 215/1999-Plenário para justificar as alterações excepcionais que extrapolem os limites legais, há de ser observada a regra estabelecida no art. 65, § 1º, do Diploma Legal de Licitações e Contratos, na exata dicção da deliberação vergastada</w:t>
      </w:r>
      <w:r w:rsidRPr="00602D20">
        <w:rPr>
          <w:rFonts w:ascii="Arial" w:eastAsia="Calibri" w:hAnsi="Arial" w:cs="Arial"/>
          <w:sz w:val="24"/>
        </w:rPr>
        <w:t>”. Anotou também que esse tem sido o entendimento “</w:t>
      </w:r>
      <w:r w:rsidRPr="00602D20">
        <w:rPr>
          <w:rFonts w:ascii="Arial" w:eastAsia="Calibri" w:hAnsi="Arial" w:cs="Arial"/>
          <w:i/>
          <w:sz w:val="24"/>
        </w:rPr>
        <w:t>majoritário do Tribunal, já consubstanciado no Acórdão 1.733/2009 – TCU – Plenário</w:t>
      </w:r>
      <w:r w:rsidRPr="00602D20">
        <w:rPr>
          <w:rFonts w:ascii="Arial" w:eastAsia="Calibri" w:hAnsi="Arial" w:cs="Arial"/>
          <w:sz w:val="24"/>
        </w:rPr>
        <w:t>”. A despeito disso, levou em conta o fato de que a implementação da deliberação recorrida implicaria, possivelmente, “</w:t>
      </w:r>
      <w:r w:rsidRPr="00602D20">
        <w:rPr>
          <w:rFonts w:ascii="Arial" w:eastAsia="Calibri" w:hAnsi="Arial" w:cs="Arial"/>
          <w:i/>
          <w:sz w:val="24"/>
        </w:rPr>
        <w:t>a imediata paralisação de cerca de 100 obras rodoviárias, haja vista a necessidade de rescindir as avenças administrativos, readequar todos os respectivos projetos básicos e promover novos procedimentos licitatórios</w:t>
      </w:r>
      <w:r w:rsidRPr="00602D20">
        <w:rPr>
          <w:rFonts w:ascii="Arial" w:eastAsia="Calibri" w:hAnsi="Arial" w:cs="Arial"/>
          <w:sz w:val="24"/>
        </w:rPr>
        <w:t xml:space="preserve">...”. Em face desse panorama fático e normativo, o Tribunal, ao encampar proposta do relator, decidiu conceder provimento parcial ao pedido de reexame do DNIT a fim de conferir ao subitem 9.2 do Acórdão nº 749/2010, alterado pelo Acórdão 591/2011 - Plenário, a seguinte redação: </w:t>
      </w:r>
      <w:r w:rsidRPr="00602D20">
        <w:rPr>
          <w:rFonts w:ascii="Arial" w:eastAsia="Calibri" w:hAnsi="Arial" w:cs="Arial"/>
          <w:i/>
          <w:iCs/>
          <w:sz w:val="24"/>
        </w:rPr>
        <w:t xml:space="preserve">"determinar ao Departamento Nacional de Infraestrutura de Transportes que, </w:t>
      </w:r>
      <w:r w:rsidRPr="00602D20">
        <w:rPr>
          <w:rFonts w:ascii="Arial" w:eastAsia="Calibri" w:hAnsi="Arial" w:cs="Arial"/>
          <w:b/>
          <w:i/>
          <w:iCs/>
          <w:sz w:val="24"/>
        </w:rPr>
        <w:t>nas futuras contratações celebradas a partir da data de publicação deste Acórdão no Diário Oficial da União</w:t>
      </w:r>
      <w:r w:rsidRPr="00602D20">
        <w:rPr>
          <w:rFonts w:ascii="Arial" w:eastAsia="Calibri" w:hAnsi="Arial" w:cs="Arial"/>
          <w:i/>
          <w:iCs/>
          <w:sz w:val="24"/>
        </w:rPr>
        <w:t>, passe a considerar, para efeito de observância dos limites de alterações contratuais previstos no art. 65 da Lei nº 8.666/1993, as reduções ou supressões de quantitativos de forma isolada, ou seja, o conjunto de reduções e o conjunto de acréscimos devem ser sempre calculados sobre o valor original do contrato, aplicando-se a cada um desses conjuntos, individualmente e sem nenhum tipo de compensação entre eles, os limites de alteração estabelecidos no dispositivo legal</w:t>
      </w:r>
      <w:r w:rsidRPr="00602D20">
        <w:rPr>
          <w:rFonts w:ascii="Arial" w:eastAsia="Calibri" w:hAnsi="Arial" w:cs="Arial"/>
          <w:iCs/>
          <w:sz w:val="24"/>
        </w:rPr>
        <w:t xml:space="preserve">;” – grifou-se. Ao mesmo tempo, porém, impôs ao </w:t>
      </w:r>
      <w:r w:rsidRPr="00602D20">
        <w:rPr>
          <w:rFonts w:ascii="Arial" w:eastAsia="Calibri" w:hAnsi="Arial" w:cs="Arial"/>
          <w:sz w:val="24"/>
        </w:rPr>
        <w:t xml:space="preserve">DNIT que, “... </w:t>
      </w:r>
      <w:r w:rsidRPr="00602D20">
        <w:rPr>
          <w:rFonts w:ascii="Arial" w:eastAsia="Calibri" w:hAnsi="Arial" w:cs="Arial"/>
          <w:i/>
          <w:sz w:val="24"/>
        </w:rPr>
        <w:t>em cada caso abrangido por essa solução temporária e intertemporal (...), os aditivos que vierem a ser celebrados deverão ser justificados quanto à sua pertinência e conformidade às características e diretrizes fundamentais estabelecidas no projeto básico, devendo ser devidamente registrados nos respectivos processos administrativos, estando, assim, disponíveis à fiscalização dos órgãos de controle;</w:t>
      </w:r>
      <w:r w:rsidRPr="00602D20">
        <w:rPr>
          <w:rFonts w:ascii="Arial" w:eastAsia="Calibri" w:hAnsi="Arial" w:cs="Arial"/>
          <w:sz w:val="24"/>
        </w:rPr>
        <w:t xml:space="preserve">”. </w:t>
      </w:r>
      <w:r w:rsidRPr="00602D20">
        <w:rPr>
          <w:rFonts w:ascii="Arial" w:eastAsia="Calibri" w:hAnsi="Arial" w:cs="Arial"/>
          <w:b/>
          <w:i/>
          <w:sz w:val="24"/>
        </w:rPr>
        <w:t>Acórdão n.º 2819/2011-Plenário, TC-022.689/2011, rel. Min. Walton Alencar Rodrigues, 25.10.2011.</w:t>
      </w:r>
    </w:p>
    <w:p w:rsidR="008C4408" w:rsidRPr="008C4408" w:rsidRDefault="008C4408" w:rsidP="0068243F">
      <w:pPr>
        <w:spacing w:before="120" w:after="240" w:line="360" w:lineRule="auto"/>
        <w:jc w:val="both"/>
        <w:rPr>
          <w:rFonts w:ascii="Arial" w:eastAsia="Calibri" w:hAnsi="Arial" w:cs="Arial"/>
          <w:b/>
          <w:iCs/>
          <w:sz w:val="24"/>
        </w:rPr>
      </w:pPr>
      <w:r w:rsidRPr="008C4408">
        <w:rPr>
          <w:rFonts w:ascii="Arial" w:eastAsia="Calibri" w:hAnsi="Arial" w:cs="Arial"/>
          <w:b/>
          <w:sz w:val="24"/>
        </w:rPr>
        <w:t>Contratação de obra pública: 1 - O</w:t>
      </w:r>
      <w:r w:rsidRPr="008C4408">
        <w:rPr>
          <w:rFonts w:ascii="Arial" w:eastAsia="Calibri" w:hAnsi="Arial" w:cs="Arial"/>
          <w:b/>
          <w:iCs/>
          <w:sz w:val="24"/>
        </w:rPr>
        <w:t>s itens administração local, instalação de canteiro e acampamento e mobilização e desmobilização de obra não devem compor o BDI, mas sim constar da planilha orçamentária de forma destacada</w:t>
      </w:r>
    </w:p>
    <w:p w:rsidR="008C4408" w:rsidRPr="008C4408" w:rsidRDefault="008C4408" w:rsidP="0068243F">
      <w:pPr>
        <w:spacing w:before="120" w:after="240" w:line="360" w:lineRule="auto"/>
        <w:jc w:val="both"/>
        <w:rPr>
          <w:rFonts w:ascii="Arial" w:eastAsia="Calibri" w:hAnsi="Arial" w:cs="Arial"/>
          <w:sz w:val="24"/>
        </w:rPr>
      </w:pPr>
      <w:r w:rsidRPr="008C4408">
        <w:rPr>
          <w:rFonts w:ascii="Arial" w:eastAsia="Calibri" w:hAnsi="Arial" w:cs="Arial"/>
          <w:sz w:val="24"/>
        </w:rPr>
        <w:t>Auditoria realizada no Contrato de Repasse nº 593838/2007, que tinha por objeto a ampliação do sistema de esgotamento sanitário dos Municípios de Nossa Senhora do Socorro e de Aracaju/SE, firmado entre o Ministério das Cidades, por intermédio da Caixa Econômica Federal, e o Estado de Sergipe - tendo como interveniente executor a Companhia de Saneamento de Sergipe (Deso) -, identificou indícios de irregularidades que motivaram a realização de audiências de responsáveis. Diversos agentes foram chamados a apresentar razões de justificativas acerca de: I) “ ...</w:t>
      </w:r>
      <w:r w:rsidRPr="008C4408">
        <w:rPr>
          <w:rFonts w:ascii="Arial" w:eastAsia="Calibri" w:hAnsi="Arial" w:cs="Arial"/>
          <w:i/>
          <w:iCs/>
          <w:sz w:val="24"/>
        </w:rPr>
        <w:t xml:space="preserve"> inclusão do item ‘Administração Local’ no BDI da empresa FUAD RASSI, vencedora da CONCORRÊNCIA PÚBLICA Nº 020/09; e b) descumprimento do item 5. ‘Elementos da Proposta’, alínea c) das ‘Especificações Técnicas para Execução das Obras Civis’, do art. 40, inciso XIII da Lei nº 8666/1993, bem como do Acórdão 325/2007-TCU-Plenário, permitindo a inclusão dos itens ‘Instalação de Canteiro’ e ‘Mobilização e Desmobilização do Equipamento’ no BDI da empresa FUAD RASSI, vencedora da  CONCORRÊNCIA PÚBLICA Nº 020/09</w:t>
      </w:r>
      <w:r w:rsidRPr="008C4408">
        <w:rPr>
          <w:rFonts w:ascii="Arial" w:eastAsia="Calibri" w:hAnsi="Arial" w:cs="Arial"/>
          <w:iCs/>
          <w:sz w:val="24"/>
        </w:rPr>
        <w:t xml:space="preserve">”. Em resposta, às audiências realizadas, os responsáveis informaram que </w:t>
      </w:r>
      <w:r w:rsidRPr="008C4408">
        <w:rPr>
          <w:rFonts w:ascii="Arial" w:eastAsia="Calibri" w:hAnsi="Arial" w:cs="Arial"/>
          <w:sz w:val="24"/>
        </w:rPr>
        <w:t>a Deso teria negociado junto à contratada a redução do BDI original de 22,97% para 18,34%, em razão de supressão dos itens “</w:t>
      </w:r>
      <w:r w:rsidRPr="008C4408">
        <w:rPr>
          <w:rFonts w:ascii="Arial" w:eastAsia="Calibri" w:hAnsi="Arial" w:cs="Arial"/>
          <w:i/>
          <w:sz w:val="24"/>
        </w:rPr>
        <w:t>Administração Local</w:t>
      </w:r>
      <w:r w:rsidRPr="008C4408">
        <w:rPr>
          <w:rFonts w:ascii="Arial" w:eastAsia="Calibri" w:hAnsi="Arial" w:cs="Arial"/>
          <w:sz w:val="24"/>
        </w:rPr>
        <w:t>”, “</w:t>
      </w:r>
      <w:r w:rsidRPr="008C4408">
        <w:rPr>
          <w:rFonts w:ascii="Arial" w:eastAsia="Calibri" w:hAnsi="Arial" w:cs="Arial"/>
          <w:i/>
          <w:sz w:val="24"/>
        </w:rPr>
        <w:t>Instalação de Canteiro</w:t>
      </w:r>
      <w:r w:rsidRPr="008C4408">
        <w:rPr>
          <w:rFonts w:ascii="Arial" w:eastAsia="Calibri" w:hAnsi="Arial" w:cs="Arial"/>
          <w:sz w:val="24"/>
        </w:rPr>
        <w:t>” e “</w:t>
      </w:r>
      <w:r w:rsidRPr="008C4408">
        <w:rPr>
          <w:rFonts w:ascii="Arial" w:eastAsia="Calibri" w:hAnsi="Arial" w:cs="Arial"/>
          <w:i/>
          <w:sz w:val="24"/>
        </w:rPr>
        <w:t>Mobilização e Desmobilização do Equipamento</w:t>
      </w:r>
      <w:r w:rsidRPr="008C4408">
        <w:rPr>
          <w:rFonts w:ascii="Arial" w:eastAsia="Calibri" w:hAnsi="Arial" w:cs="Arial"/>
          <w:sz w:val="24"/>
        </w:rPr>
        <w:t xml:space="preserve">”. De acordo com a própria Deso, a quem foi dirigida diligência, os serviços até então executados teriam sido pagos </w:t>
      </w:r>
      <w:r w:rsidRPr="008C4408">
        <w:rPr>
          <w:rFonts w:ascii="Arial" w:eastAsia="Calibri" w:hAnsi="Arial" w:cs="Arial"/>
          <w:i/>
          <w:iCs/>
          <w:sz w:val="24"/>
        </w:rPr>
        <w:t>“com a retenção do BDI impugnado pela auditoria. Foram efetuadas medições no valor total de R$ 483.313,74, que sofreram retenção de R$ 27.341,58 pela redução do BDI.”</w:t>
      </w:r>
      <w:r w:rsidRPr="008C4408">
        <w:rPr>
          <w:rFonts w:ascii="Arial" w:eastAsia="Calibri" w:hAnsi="Arial" w:cs="Arial"/>
          <w:sz w:val="24"/>
        </w:rPr>
        <w:t>. O relator do feito, Ministro José Jorge, ao examinar tais razões de justificativas, reafirmou o entendimento de ser indevida a inclusão dos citados itens na conformação do BDI. Anotou que a orientação contida no subitem 9.1.2 do citado Acórdão nº 325/2007-Plenário, dirigida às unidades técnicas do TCU, é clara, no sentido de que: “</w:t>
      </w:r>
      <w:r w:rsidRPr="008C4408">
        <w:rPr>
          <w:rFonts w:ascii="Arial" w:eastAsia="Calibri" w:hAnsi="Arial" w:cs="Arial"/>
          <w:i/>
          <w:iCs/>
          <w:sz w:val="24"/>
        </w:rPr>
        <w:t>9.1.2. os itens Administração Local, Instalação de Canteiro e Acampamento e Mobilização e Desmobilização, visando a maior transparência, devem constar na planilha orçamentária e não no LDI</w:t>
      </w:r>
      <w:r w:rsidRPr="008C4408">
        <w:rPr>
          <w:rFonts w:ascii="Arial" w:eastAsia="Calibri" w:hAnsi="Arial" w:cs="Arial"/>
          <w:iCs/>
          <w:sz w:val="24"/>
        </w:rPr>
        <w:t xml:space="preserve">”. Tendo em vista, porém, a sinalização de que a inconsistência anotada teria sido corrigida, manifestou o Relator anuência à sugestão </w:t>
      </w:r>
      <w:r w:rsidRPr="008C4408">
        <w:rPr>
          <w:rFonts w:ascii="Arial" w:eastAsia="Calibri" w:hAnsi="Arial" w:cs="Arial"/>
          <w:sz w:val="24"/>
        </w:rPr>
        <w:t>da unidade técnica de acolher as razões de justificativas do presidente da comissão de licitação da Deso. Ressaltou, porém, a necessidade de que, no prazo de trinta dias, a contar da notificação, aquela empresa de saneamento “</w:t>
      </w:r>
      <w:r w:rsidRPr="008C4408">
        <w:rPr>
          <w:rFonts w:ascii="Arial" w:eastAsia="Calibri" w:hAnsi="Arial" w:cs="Arial"/>
          <w:i/>
          <w:sz w:val="24"/>
        </w:rPr>
        <w:t>apresente a este Tribunal cópia do ‘Termo de Rerratificação’ do contrato celebrado com a empresa FUAD RASSI, contendo a alteração do BDI original para 18,34%, bem como quaisquer outras alterações efetivadas</w:t>
      </w:r>
      <w:r w:rsidRPr="008C4408">
        <w:rPr>
          <w:rFonts w:ascii="Arial" w:eastAsia="Calibri" w:hAnsi="Arial" w:cs="Arial"/>
          <w:sz w:val="24"/>
        </w:rPr>
        <w:t xml:space="preserve">”. O Tribunal, então, endossou a solução propugnada pelo relator. </w:t>
      </w:r>
      <w:r w:rsidRPr="008C4408">
        <w:rPr>
          <w:rFonts w:ascii="Arial" w:eastAsia="Calibri" w:hAnsi="Arial" w:cs="Arial"/>
          <w:b/>
          <w:i/>
          <w:sz w:val="24"/>
        </w:rPr>
        <w:t>Acórdão n.º 2842/2011-Plenário, TC-028.235/2010-0, rel. Min. José Jorge, 25.10.2011.</w:t>
      </w:r>
      <w:r w:rsidRPr="008C4408">
        <w:rPr>
          <w:rFonts w:ascii="Arial" w:eastAsia="Calibri" w:hAnsi="Arial" w:cs="Arial"/>
          <w:sz w:val="24"/>
        </w:rPr>
        <w:t xml:space="preserve"> </w:t>
      </w:r>
    </w:p>
    <w:p w:rsidR="008C4408" w:rsidRPr="008C4408" w:rsidRDefault="008C4408" w:rsidP="0068243F">
      <w:pPr>
        <w:spacing w:before="120" w:after="240" w:line="360" w:lineRule="auto"/>
        <w:jc w:val="both"/>
        <w:rPr>
          <w:rFonts w:ascii="Arial" w:eastAsia="Calibri" w:hAnsi="Arial" w:cs="Arial"/>
          <w:b/>
          <w:iCs/>
          <w:sz w:val="24"/>
        </w:rPr>
      </w:pPr>
      <w:r w:rsidRPr="008C4408">
        <w:rPr>
          <w:rFonts w:ascii="Arial" w:eastAsia="Calibri" w:hAnsi="Arial" w:cs="Arial"/>
          <w:b/>
          <w:sz w:val="24"/>
        </w:rPr>
        <w:t>Contratação de obra pública: 2 - O fornecimento pela empresa contratada de materiais ordinariamente utilizados na confecção de obras, como ‘</w:t>
      </w:r>
      <w:r w:rsidRPr="008C4408">
        <w:rPr>
          <w:rFonts w:ascii="Arial" w:eastAsia="Calibri" w:hAnsi="Arial" w:cs="Arial"/>
          <w:b/>
          <w:iCs/>
          <w:sz w:val="24"/>
        </w:rPr>
        <w:t xml:space="preserve">Tubo de PVC rígido para esgoto predial de 100 mm’, não demanda realização de procedimento licitatório autônomo para aquisição desse material, nem a incidência sobre o valor do item de BDI inferior ao do contrato da obra </w:t>
      </w:r>
    </w:p>
    <w:p w:rsidR="008C4408" w:rsidRPr="008C4408" w:rsidRDefault="008C4408" w:rsidP="0068243F">
      <w:pPr>
        <w:spacing w:before="120" w:after="240" w:line="360" w:lineRule="auto"/>
        <w:jc w:val="both"/>
        <w:rPr>
          <w:rFonts w:ascii="Arial" w:eastAsia="Calibri" w:hAnsi="Arial" w:cs="Arial"/>
          <w:sz w:val="24"/>
        </w:rPr>
      </w:pPr>
      <w:r w:rsidRPr="008C4408">
        <w:rPr>
          <w:rFonts w:ascii="Arial" w:eastAsia="Calibri" w:hAnsi="Arial" w:cs="Arial"/>
          <w:sz w:val="24"/>
        </w:rPr>
        <w:t>Na auditoria realizada no acima citado contrato de repasse, também foi promovida audiência do Diretor Técnico de Engenharia da Deso, em razão de “</w:t>
      </w:r>
      <w:r w:rsidRPr="008C4408">
        <w:rPr>
          <w:rFonts w:ascii="Arial" w:eastAsia="Calibri" w:hAnsi="Arial" w:cs="Arial"/>
          <w:i/>
          <w:iCs/>
          <w:sz w:val="24"/>
        </w:rPr>
        <w:t>não adoção de BDI diferenciado, bem como pela não aquisição por meio de Pregão de Tubo de PVC rígido para esgoto predial de 100 mm incluídos nas composições ‘Ligação Tipo II em piso cimentado’, ‘Ligação Tipo II em piso de ladrilho’, ‘Ligação do Tipo III em piso cimentado’ e ‘Ligação Tipo III em piso de ladrilho’ dos Contratos nºs 42/2010 e 59/2010</w:t>
      </w:r>
      <w:r w:rsidRPr="008C4408">
        <w:rPr>
          <w:rFonts w:ascii="Arial" w:eastAsia="Calibri" w:hAnsi="Arial" w:cs="Arial"/>
          <w:iCs/>
          <w:sz w:val="24"/>
        </w:rPr>
        <w:t>”.</w:t>
      </w:r>
      <w:r w:rsidRPr="008C4408">
        <w:rPr>
          <w:rFonts w:ascii="Arial" w:eastAsia="Calibri" w:hAnsi="Arial" w:cs="Arial"/>
          <w:i/>
          <w:iCs/>
          <w:sz w:val="24"/>
        </w:rPr>
        <w:t xml:space="preserve"> </w:t>
      </w:r>
      <w:r w:rsidRPr="008C4408">
        <w:rPr>
          <w:rFonts w:ascii="Arial" w:eastAsia="Calibri" w:hAnsi="Arial" w:cs="Arial"/>
          <w:iCs/>
          <w:sz w:val="24"/>
        </w:rPr>
        <w:t xml:space="preserve">O referido responsável, a despeito disso, deixou de apresentar razões de justificativas a respeito dessas ocorrências. A unidade técnica considerou que </w:t>
      </w:r>
      <w:r w:rsidRPr="008C4408">
        <w:rPr>
          <w:rFonts w:ascii="Arial" w:eastAsia="Calibri" w:hAnsi="Arial" w:cs="Arial"/>
          <w:sz w:val="24"/>
        </w:rPr>
        <w:t xml:space="preserve">a adoção do BDI diferenciado, de 10%, implicaria economia de 0,35% do valor total do contrato, o que corresponderia a R$ 57.565,13, frente a um valor total contratado de R$ 16.343.576,52. Por considerar pouco significativo o suposto dano verificado, deixou de sugerir a apenação do responsável. Considerou, entretanto, necessário dar ciência à Companhia acerca do fato, para que fossem adotadas providências corretivas, na </w:t>
      </w:r>
      <w:r w:rsidRPr="008C4408">
        <w:rPr>
          <w:rFonts w:ascii="Arial" w:eastAsia="Calibri" w:hAnsi="Arial" w:cs="Arial"/>
          <w:i/>
          <w:iCs/>
          <w:sz w:val="24"/>
        </w:rPr>
        <w:t>“hipótese de aditamento ao contrato em vigor em que os quantitativos dos produtos sejam majorados”</w:t>
      </w:r>
      <w:r w:rsidRPr="008C4408">
        <w:rPr>
          <w:rFonts w:ascii="Arial" w:eastAsia="Calibri" w:hAnsi="Arial" w:cs="Arial"/>
          <w:sz w:val="24"/>
        </w:rPr>
        <w:t>. O Relator do feito entendeu, porém, que os atos impugnados não configuraram ilicitude de nenhuma ordem. Com o intuito de demonstrar essa conclusão fez menção ao teor da Súmula nº 253 do TCU:</w:t>
      </w:r>
      <w:r w:rsidRPr="008C4408">
        <w:rPr>
          <w:rFonts w:ascii="Arial" w:eastAsia="Calibri" w:hAnsi="Arial" w:cs="Arial"/>
          <w:i/>
          <w:iCs/>
          <w:sz w:val="24"/>
        </w:rPr>
        <w:t xml:space="preserve"> “Comprovada a inviabilidade técnico-econômica de parcelamento do objeto da licitação, nos termos da legislação em vigor, os </w:t>
      </w:r>
      <w:r w:rsidRPr="008C4408">
        <w:rPr>
          <w:rFonts w:ascii="Arial" w:eastAsia="Calibri" w:hAnsi="Arial" w:cs="Arial"/>
          <w:b/>
          <w:bCs/>
          <w:i/>
          <w:iCs/>
          <w:sz w:val="24"/>
        </w:rPr>
        <w:t xml:space="preserve">itens de fornecimento de materiais </w:t>
      </w:r>
      <w:r w:rsidRPr="008C4408">
        <w:rPr>
          <w:rFonts w:ascii="Arial" w:eastAsia="Calibri" w:hAnsi="Arial" w:cs="Arial"/>
          <w:i/>
          <w:iCs/>
          <w:sz w:val="24"/>
        </w:rPr>
        <w:t xml:space="preserve">e equipamentos </w:t>
      </w:r>
      <w:r w:rsidRPr="008C4408">
        <w:rPr>
          <w:rFonts w:ascii="Arial" w:eastAsia="Calibri" w:hAnsi="Arial" w:cs="Arial"/>
          <w:b/>
          <w:bCs/>
          <w:i/>
          <w:iCs/>
          <w:sz w:val="24"/>
        </w:rPr>
        <w:t xml:space="preserve">de natureza específica </w:t>
      </w:r>
      <w:r w:rsidRPr="008C4408">
        <w:rPr>
          <w:rFonts w:ascii="Arial" w:eastAsia="Calibri" w:hAnsi="Arial" w:cs="Arial"/>
          <w:i/>
          <w:iCs/>
          <w:sz w:val="24"/>
        </w:rPr>
        <w:t xml:space="preserve">que possam ser </w:t>
      </w:r>
      <w:r w:rsidRPr="008C4408">
        <w:rPr>
          <w:rFonts w:ascii="Arial" w:eastAsia="Calibri" w:hAnsi="Arial" w:cs="Arial"/>
          <w:b/>
          <w:bCs/>
          <w:i/>
          <w:iCs/>
          <w:sz w:val="24"/>
        </w:rPr>
        <w:t xml:space="preserve">fornecidos por empresas com especialidades próprias e diversas </w:t>
      </w:r>
      <w:r w:rsidRPr="008C4408">
        <w:rPr>
          <w:rFonts w:ascii="Arial" w:eastAsia="Calibri" w:hAnsi="Arial" w:cs="Arial"/>
          <w:i/>
          <w:iCs/>
          <w:sz w:val="24"/>
        </w:rPr>
        <w:t xml:space="preserve">e que </w:t>
      </w:r>
      <w:r w:rsidRPr="008C4408">
        <w:rPr>
          <w:rFonts w:ascii="Arial" w:eastAsia="Calibri" w:hAnsi="Arial" w:cs="Arial"/>
          <w:b/>
          <w:bCs/>
          <w:i/>
          <w:iCs/>
          <w:sz w:val="24"/>
        </w:rPr>
        <w:t xml:space="preserve">representem percentual significativo do preço global da obra </w:t>
      </w:r>
      <w:r w:rsidRPr="008C4408">
        <w:rPr>
          <w:rFonts w:ascii="Arial" w:eastAsia="Calibri" w:hAnsi="Arial" w:cs="Arial"/>
          <w:i/>
          <w:iCs/>
          <w:sz w:val="24"/>
        </w:rPr>
        <w:t xml:space="preserve">devem apresentar </w:t>
      </w:r>
      <w:r w:rsidRPr="008C4408">
        <w:rPr>
          <w:rFonts w:ascii="Arial" w:eastAsia="Calibri" w:hAnsi="Arial" w:cs="Arial"/>
          <w:b/>
          <w:bCs/>
          <w:i/>
          <w:iCs/>
          <w:sz w:val="24"/>
        </w:rPr>
        <w:t xml:space="preserve">incidência de taxa de Bonificação e Despesas Indiretas - BDI reduzida </w:t>
      </w:r>
      <w:r w:rsidRPr="008C4408">
        <w:rPr>
          <w:rFonts w:ascii="Arial" w:eastAsia="Calibri" w:hAnsi="Arial" w:cs="Arial"/>
          <w:i/>
          <w:iCs/>
          <w:sz w:val="24"/>
        </w:rPr>
        <w:t>em relação à taxa aplicável aos demais itens.”</w:t>
      </w:r>
      <w:r w:rsidRPr="008C4408">
        <w:rPr>
          <w:rFonts w:ascii="Arial" w:eastAsia="Calibri" w:hAnsi="Arial" w:cs="Arial"/>
          <w:iCs/>
          <w:sz w:val="24"/>
        </w:rPr>
        <w:t xml:space="preserve"> – </w:t>
      </w:r>
      <w:r w:rsidRPr="008C4408">
        <w:rPr>
          <w:rFonts w:ascii="Arial" w:eastAsia="Calibri" w:hAnsi="Arial" w:cs="Arial"/>
          <w:sz w:val="24"/>
        </w:rPr>
        <w:t xml:space="preserve">grifos do relator. Invocou, ainda, </w:t>
      </w:r>
      <w:r w:rsidRPr="008C4408">
        <w:rPr>
          <w:rFonts w:ascii="Arial" w:eastAsia="Calibri" w:hAnsi="Arial" w:cs="Arial"/>
          <w:bCs/>
          <w:iCs/>
          <w:sz w:val="24"/>
        </w:rPr>
        <w:t>declaração de Voto do Min. Walton Alencar Rodrigues, ac</w:t>
      </w:r>
      <w:r w:rsidRPr="008C4408">
        <w:rPr>
          <w:rFonts w:ascii="Arial" w:eastAsia="Calibri" w:hAnsi="Arial" w:cs="Arial"/>
          <w:iCs/>
          <w:sz w:val="24"/>
        </w:rPr>
        <w:t>olhida pelo Plenário em precedente que conduziu o Tribunal a proferir o A</w:t>
      </w:r>
      <w:r w:rsidRPr="008C4408">
        <w:rPr>
          <w:rFonts w:ascii="Arial" w:eastAsia="Calibri" w:hAnsi="Arial" w:cs="Arial"/>
          <w:bCs/>
          <w:iCs/>
          <w:sz w:val="24"/>
        </w:rPr>
        <w:t>córdão 1.785/2009, e que também norteou a edição da referida Súmula, segundo a qual</w:t>
      </w:r>
      <w:r w:rsidRPr="008C4408">
        <w:rPr>
          <w:rFonts w:ascii="Arial" w:eastAsia="Calibri" w:hAnsi="Arial" w:cs="Arial"/>
          <w:iCs/>
          <w:sz w:val="24"/>
        </w:rPr>
        <w:t>:</w:t>
      </w:r>
      <w:r w:rsidRPr="008C4408">
        <w:rPr>
          <w:rFonts w:ascii="Arial" w:eastAsia="Calibri" w:hAnsi="Arial" w:cs="Arial"/>
          <w:i/>
          <w:iCs/>
          <w:sz w:val="24"/>
        </w:rPr>
        <w:t xml:space="preserve">”... O </w:t>
      </w:r>
      <w:r w:rsidRPr="008C4408">
        <w:rPr>
          <w:rFonts w:ascii="Arial" w:eastAsia="Calibri" w:hAnsi="Arial" w:cs="Arial"/>
          <w:b/>
          <w:bCs/>
          <w:i/>
          <w:iCs/>
          <w:sz w:val="24"/>
        </w:rPr>
        <w:t xml:space="preserve">fornecimento dos materiais </w:t>
      </w:r>
      <w:r w:rsidRPr="008C4408">
        <w:rPr>
          <w:rFonts w:ascii="Arial" w:eastAsia="Calibri" w:hAnsi="Arial" w:cs="Arial"/>
          <w:i/>
          <w:iCs/>
          <w:sz w:val="24"/>
        </w:rPr>
        <w:t xml:space="preserve">elencados pela Secex/MG, que </w:t>
      </w:r>
      <w:r w:rsidRPr="008C4408">
        <w:rPr>
          <w:rFonts w:ascii="Arial" w:eastAsia="Calibri" w:hAnsi="Arial" w:cs="Arial"/>
          <w:b/>
          <w:bCs/>
          <w:i/>
          <w:iCs/>
          <w:sz w:val="24"/>
        </w:rPr>
        <w:t xml:space="preserve">correspondem a cerca de 76% do custo da obra de edificação </w:t>
      </w:r>
      <w:r w:rsidRPr="008C4408">
        <w:rPr>
          <w:rFonts w:ascii="Arial" w:eastAsia="Calibri" w:hAnsi="Arial" w:cs="Arial"/>
          <w:i/>
          <w:iCs/>
          <w:sz w:val="24"/>
        </w:rPr>
        <w:t xml:space="preserve">da biblioteca - </w:t>
      </w:r>
      <w:r w:rsidRPr="008C4408">
        <w:rPr>
          <w:rFonts w:ascii="Arial" w:eastAsia="Calibri" w:hAnsi="Arial" w:cs="Arial"/>
          <w:b/>
          <w:bCs/>
          <w:i/>
          <w:iCs/>
          <w:sz w:val="24"/>
        </w:rPr>
        <w:t xml:space="preserve">pisos de granito e cerâmica, instalações hidrossanitárias e elétricas, esquadrias de alumínio e metálicas </w:t>
      </w:r>
      <w:r w:rsidRPr="008C4408">
        <w:rPr>
          <w:rFonts w:ascii="Arial" w:eastAsia="Calibri" w:hAnsi="Arial" w:cs="Arial"/>
          <w:i/>
          <w:iCs/>
          <w:sz w:val="24"/>
        </w:rPr>
        <w:t xml:space="preserve">–, por certo, </w:t>
      </w:r>
      <w:r w:rsidRPr="008C4408">
        <w:rPr>
          <w:rFonts w:ascii="Arial" w:eastAsia="Calibri" w:hAnsi="Arial" w:cs="Arial"/>
          <w:b/>
          <w:bCs/>
          <w:i/>
          <w:iCs/>
          <w:sz w:val="24"/>
        </w:rPr>
        <w:t xml:space="preserve">não pode ser considerada atividade acessória a obra de edificação (...). </w:t>
      </w:r>
      <w:r w:rsidRPr="008C4408">
        <w:rPr>
          <w:rFonts w:ascii="Arial" w:eastAsia="Calibri" w:hAnsi="Arial" w:cs="Arial"/>
          <w:i/>
          <w:iCs/>
          <w:sz w:val="24"/>
        </w:rPr>
        <w:t>Nada mais típico à atividade de construção civil que o fornecimento e instalação desses materiais</w:t>
      </w:r>
      <w:r w:rsidRPr="008C4408">
        <w:rPr>
          <w:rFonts w:ascii="Arial" w:eastAsia="Calibri" w:hAnsi="Arial" w:cs="Arial"/>
          <w:iCs/>
          <w:sz w:val="24"/>
        </w:rPr>
        <w:t xml:space="preserve">”. </w:t>
      </w:r>
      <w:r w:rsidRPr="008C4408">
        <w:rPr>
          <w:rFonts w:ascii="Arial" w:eastAsia="Calibri" w:hAnsi="Arial" w:cs="Arial"/>
          <w:sz w:val="24"/>
        </w:rPr>
        <w:t>Ressaltou, em seguida, que a situação sob exame não se enquadra na hipótese delineada na citada Súmula, visto que “</w:t>
      </w:r>
      <w:r w:rsidRPr="008C4408">
        <w:rPr>
          <w:rFonts w:ascii="Arial" w:eastAsia="Calibri" w:hAnsi="Arial" w:cs="Arial"/>
          <w:i/>
          <w:sz w:val="24"/>
        </w:rPr>
        <w:t>Tubo de PVC rígido para esgoto predial de 100mm</w:t>
      </w:r>
      <w:r w:rsidRPr="008C4408">
        <w:rPr>
          <w:rFonts w:ascii="Arial" w:eastAsia="Calibri" w:hAnsi="Arial" w:cs="Arial"/>
          <w:sz w:val="24"/>
        </w:rPr>
        <w:t>” não se caracteriza como material</w:t>
      </w:r>
      <w:r w:rsidRPr="008C4408">
        <w:rPr>
          <w:rFonts w:ascii="Arial" w:eastAsia="Calibri" w:hAnsi="Arial" w:cs="Arial"/>
          <w:i/>
          <w:sz w:val="24"/>
        </w:rPr>
        <w:t xml:space="preserve"> </w:t>
      </w:r>
      <w:r w:rsidRPr="008C4408">
        <w:rPr>
          <w:rFonts w:ascii="Arial" w:eastAsia="Calibri" w:hAnsi="Arial" w:cs="Arial"/>
          <w:sz w:val="24"/>
        </w:rPr>
        <w:t>“</w:t>
      </w:r>
      <w:r w:rsidRPr="008C4408">
        <w:rPr>
          <w:rFonts w:ascii="Arial" w:eastAsia="Calibri" w:hAnsi="Arial" w:cs="Arial"/>
          <w:i/>
          <w:sz w:val="24"/>
        </w:rPr>
        <w:t>de natureza específica</w:t>
      </w:r>
      <w:r w:rsidRPr="008C4408">
        <w:rPr>
          <w:rFonts w:ascii="Arial" w:eastAsia="Calibri" w:hAnsi="Arial" w:cs="Arial"/>
          <w:sz w:val="24"/>
        </w:rPr>
        <w:t>”</w:t>
      </w:r>
      <w:r w:rsidRPr="008C4408">
        <w:rPr>
          <w:rFonts w:ascii="Arial" w:eastAsia="Calibri" w:hAnsi="Arial" w:cs="Arial"/>
          <w:i/>
          <w:sz w:val="24"/>
        </w:rPr>
        <w:t xml:space="preserve"> </w:t>
      </w:r>
      <w:r w:rsidRPr="008C4408">
        <w:rPr>
          <w:rFonts w:ascii="Arial" w:eastAsia="Calibri" w:hAnsi="Arial" w:cs="Arial"/>
          <w:sz w:val="24"/>
        </w:rPr>
        <w:t>que possa ser fornecido por</w:t>
      </w:r>
      <w:r w:rsidRPr="008C4408">
        <w:rPr>
          <w:rFonts w:ascii="Arial" w:eastAsia="Calibri" w:hAnsi="Arial" w:cs="Arial"/>
          <w:i/>
          <w:sz w:val="24"/>
        </w:rPr>
        <w:t xml:space="preserve"> </w:t>
      </w:r>
      <w:r w:rsidRPr="008C4408">
        <w:rPr>
          <w:rFonts w:ascii="Arial" w:eastAsia="Calibri" w:hAnsi="Arial" w:cs="Arial"/>
          <w:sz w:val="24"/>
        </w:rPr>
        <w:t>“</w:t>
      </w:r>
      <w:r w:rsidRPr="008C4408">
        <w:rPr>
          <w:rFonts w:ascii="Arial" w:eastAsia="Calibri" w:hAnsi="Arial" w:cs="Arial"/>
          <w:i/>
          <w:sz w:val="24"/>
        </w:rPr>
        <w:t>empresas com especialidades próprias e diversas</w:t>
      </w:r>
      <w:r w:rsidRPr="008C4408">
        <w:rPr>
          <w:rFonts w:ascii="Arial" w:eastAsia="Calibri" w:hAnsi="Arial" w:cs="Arial"/>
          <w:sz w:val="24"/>
        </w:rPr>
        <w:t>”. O fornecimento desse material não configura atividade residual da contratada. Entendeu, isto sim, que se trata de material ordinário de construção, o que dispensa “</w:t>
      </w:r>
      <w:r w:rsidRPr="008C4408">
        <w:rPr>
          <w:rFonts w:ascii="Arial" w:eastAsia="Calibri" w:hAnsi="Arial" w:cs="Arial"/>
          <w:i/>
          <w:sz w:val="24"/>
        </w:rPr>
        <w:t>a utilização de BDI diferenciado em relação aos demais itens constantes da planilha de custos e formação de preços</w:t>
      </w:r>
      <w:r w:rsidRPr="008C4408">
        <w:rPr>
          <w:rFonts w:ascii="Arial" w:eastAsia="Calibri" w:hAnsi="Arial" w:cs="Arial"/>
          <w:sz w:val="24"/>
        </w:rPr>
        <w:t>”. O Tribunal, então, endossou a proposição oferecida pelo relator do feito e não efetuou determinação corretiva a esse respeito.</w:t>
      </w:r>
      <w:r w:rsidRPr="008C4408">
        <w:rPr>
          <w:rFonts w:ascii="Arial" w:eastAsia="Calibri" w:hAnsi="Arial" w:cs="Arial"/>
          <w:b/>
          <w:i/>
          <w:sz w:val="24"/>
        </w:rPr>
        <w:t xml:space="preserve"> Acórdão n.º 2842/2011-Plenário, TC-028.235/2010-0, rel. Min. José Jorge, 25.10.2011.</w:t>
      </w:r>
    </w:p>
    <w:p w:rsidR="00602D20" w:rsidRDefault="009C0A94" w:rsidP="0068243F">
      <w:pPr>
        <w:spacing w:before="120" w:after="240" w:line="360" w:lineRule="auto"/>
        <w:jc w:val="center"/>
        <w:rPr>
          <w:rFonts w:ascii="Arial" w:hAnsi="Arial" w:cs="Arial"/>
          <w:sz w:val="32"/>
        </w:rPr>
      </w:pPr>
      <w:r>
        <w:rPr>
          <w:rFonts w:ascii="Arial" w:hAnsi="Arial" w:cs="Arial"/>
          <w:b/>
          <w:sz w:val="32"/>
        </w:rPr>
        <w:t>85.</w:t>
      </w:r>
    </w:p>
    <w:p w:rsidR="009C0A94" w:rsidRPr="009C0A94" w:rsidRDefault="009C0A94" w:rsidP="0068243F">
      <w:pPr>
        <w:spacing w:before="120" w:after="240" w:line="360" w:lineRule="auto"/>
        <w:jc w:val="both"/>
        <w:rPr>
          <w:rFonts w:ascii="Arial" w:eastAsia="Calibri" w:hAnsi="Arial" w:cs="Arial"/>
          <w:b/>
          <w:bCs/>
          <w:iCs/>
          <w:sz w:val="24"/>
        </w:rPr>
      </w:pPr>
      <w:r w:rsidRPr="009C0A94">
        <w:rPr>
          <w:rFonts w:ascii="Arial" w:eastAsia="Calibri" w:hAnsi="Arial" w:cs="Arial"/>
          <w:b/>
          <w:bCs/>
          <w:iCs/>
          <w:sz w:val="24"/>
        </w:rPr>
        <w:t>Licitação de obra pública: 1 - A necessidade de comprovação de capacidade técnico-profissional será restrita, cumulativamente, a parcelas do objeto da licitação de maior relevância e de valor significativo, consoante estabelece o art. 30, § 1º, inciso I, da Lei 8.666/93</w:t>
      </w:r>
    </w:p>
    <w:p w:rsidR="009C0A94" w:rsidRPr="009C0A94" w:rsidRDefault="009C0A94" w:rsidP="0068243F">
      <w:pPr>
        <w:spacing w:before="120" w:after="240" w:line="360" w:lineRule="auto"/>
        <w:jc w:val="both"/>
        <w:rPr>
          <w:rFonts w:ascii="Arial" w:eastAsia="Calibri" w:hAnsi="Arial" w:cs="Arial"/>
          <w:b/>
          <w:i/>
          <w:sz w:val="24"/>
        </w:rPr>
      </w:pPr>
      <w:r w:rsidRPr="009C0A94">
        <w:rPr>
          <w:rFonts w:ascii="Arial" w:eastAsia="Calibri" w:hAnsi="Arial" w:cs="Arial"/>
          <w:sz w:val="24"/>
        </w:rPr>
        <w:t>Representação efetuada por empresa, com amparo no 1º do art. 113 da Lei nº 8.666/93, acusou possíveis irregularidades na condução da concorrência 01/2011 realizada pelo Município de Areia/PB, que tem por objeto a contratação das obras de revitalização do Parque do Quebra, a serem custeadas com recursos do contrato de repasse 0310155-21/2009/Ministério do Turismo/Caixa Econômica Federal – CEF, no valor de R$ 5.331.655,40. O relator do feito determinou a oitiva do prefeito desse município, dos membros da comissão de licitação e da empresa contratada acerca dos indícios de irregularidades apurados, os quais teriam levado à habilitação de apenas uma licitante. Entre esses indícios, destaque-se aquele consistente na “</w:t>
      </w:r>
      <w:r w:rsidRPr="009C0A94">
        <w:rPr>
          <w:rFonts w:ascii="Arial" w:eastAsia="Calibri" w:hAnsi="Arial" w:cs="Arial"/>
          <w:i/>
          <w:sz w:val="24"/>
        </w:rPr>
        <w:t>inabilitação de licitante por falta de atestado de capacidade técnico-profissional, a despeito de ter sido apresentado, e, ainda, para item sem relevância técnica ou econômica e com base em exigência ilegal (genérica etc.), infringindo o disposto nos arts. 3º, § 1º, inciso I, e 30, § 1º, inciso I, da Lei 8.666/1993</w:t>
      </w:r>
      <w:r w:rsidRPr="009C0A94">
        <w:rPr>
          <w:rFonts w:ascii="Arial" w:eastAsia="Calibri" w:hAnsi="Arial" w:cs="Arial"/>
          <w:sz w:val="24"/>
        </w:rPr>
        <w:t>.” Conforme registrado pela unidade técnica, o item 22.2., alínea “a”, do Edital exigiu do Engenheiro Civil, responsável técnico da empresa, atestado emitido pelo CREA de execução de edificações que englobem os serviços de “</w:t>
      </w:r>
      <w:r w:rsidRPr="009C0A94">
        <w:rPr>
          <w:rFonts w:ascii="Arial" w:eastAsia="Calibri" w:hAnsi="Arial" w:cs="Arial"/>
          <w:bCs/>
          <w:i/>
          <w:iCs/>
          <w:sz w:val="24"/>
        </w:rPr>
        <w:t>execução de estruturas de aço e concreto</w:t>
      </w:r>
      <w:r w:rsidRPr="009C0A94">
        <w:rPr>
          <w:rFonts w:ascii="Arial" w:eastAsia="Calibri" w:hAnsi="Arial" w:cs="Arial"/>
          <w:i/>
          <w:iCs/>
          <w:sz w:val="24"/>
        </w:rPr>
        <w:t xml:space="preserve">, </w:t>
      </w:r>
      <w:r w:rsidRPr="009C0A94">
        <w:rPr>
          <w:rFonts w:ascii="Arial" w:eastAsia="Calibri" w:hAnsi="Arial" w:cs="Arial"/>
          <w:bCs/>
          <w:i/>
          <w:iCs/>
          <w:sz w:val="24"/>
        </w:rPr>
        <w:t>execução de rede de abastecimento de água, drenagem e esgoto, instalações elétricas de alta tensão, recuperação de pavimentos em paralelepípedo e obra de manejo ecológico/recuperação ambiental</w:t>
      </w:r>
      <w:r w:rsidRPr="009C0A94">
        <w:rPr>
          <w:rFonts w:ascii="Arial" w:eastAsia="Calibri" w:hAnsi="Arial" w:cs="Arial"/>
          <w:sz w:val="24"/>
        </w:rPr>
        <w:t>”. Os responsáveis e a empresa contratada, em resposta a oitiva do Tribunal, alegaram, como argumento principal, que as exigências contidas no edital eram pertinentes, visto que o objeto licitado não seria uma obra usual de engenharia, mas sim a “</w:t>
      </w:r>
      <w:r w:rsidRPr="009C0A94">
        <w:rPr>
          <w:rFonts w:ascii="Arial" w:eastAsia="Calibri" w:hAnsi="Arial" w:cs="Arial"/>
          <w:i/>
          <w:sz w:val="24"/>
        </w:rPr>
        <w:t xml:space="preserve">transformação do sítio em parque urbano, mediante </w:t>
      </w:r>
      <w:r w:rsidRPr="009C0A94">
        <w:rPr>
          <w:rFonts w:ascii="Arial" w:eastAsia="Calibri" w:hAnsi="Arial" w:cs="Arial"/>
          <w:bCs/>
          <w:i/>
          <w:sz w:val="24"/>
        </w:rPr>
        <w:t>realocação de famílias</w:t>
      </w:r>
      <w:r w:rsidRPr="009C0A94">
        <w:rPr>
          <w:rFonts w:ascii="Arial" w:eastAsia="Calibri" w:hAnsi="Arial" w:cs="Arial"/>
          <w:i/>
          <w:sz w:val="24"/>
        </w:rPr>
        <w:t xml:space="preserve">, revitalização de área, </w:t>
      </w:r>
      <w:r w:rsidRPr="009C0A94">
        <w:rPr>
          <w:rFonts w:ascii="Arial" w:eastAsia="Calibri" w:hAnsi="Arial" w:cs="Arial"/>
          <w:bCs/>
          <w:i/>
          <w:sz w:val="24"/>
        </w:rPr>
        <w:t xml:space="preserve">construção de sistema de tratamento de esgotos sanitários </w:t>
      </w:r>
      <w:r w:rsidRPr="009C0A94">
        <w:rPr>
          <w:rFonts w:ascii="Arial" w:eastAsia="Calibri" w:hAnsi="Arial" w:cs="Arial"/>
          <w:i/>
          <w:sz w:val="24"/>
        </w:rPr>
        <w:t xml:space="preserve">e </w:t>
      </w:r>
      <w:r w:rsidRPr="009C0A94">
        <w:rPr>
          <w:rFonts w:ascii="Arial" w:eastAsia="Calibri" w:hAnsi="Arial" w:cs="Arial"/>
          <w:bCs/>
          <w:i/>
          <w:sz w:val="24"/>
        </w:rPr>
        <w:t>instalações elétricas e hidráulicas</w:t>
      </w:r>
      <w:r w:rsidRPr="009C0A94">
        <w:rPr>
          <w:rFonts w:ascii="Arial" w:eastAsia="Calibri" w:hAnsi="Arial" w:cs="Arial"/>
          <w:bCs/>
          <w:sz w:val="24"/>
        </w:rPr>
        <w:t>”.</w:t>
      </w:r>
      <w:r w:rsidRPr="009C0A94">
        <w:rPr>
          <w:rFonts w:ascii="Arial" w:eastAsia="Calibri" w:hAnsi="Arial" w:cs="Arial"/>
          <w:sz w:val="24"/>
        </w:rPr>
        <w:t xml:space="preserve"> O relator, porém, endossou as conclusões da unidade técnica, no sentido de que a exigência contida no edital afronta o disposto no art. 30, § 1º, inciso I, da Lei 8.666/93, segundo o qual a necessidade comprovação de capacidade técnico-profissional será restrita às parcelas de maior relevância e valor significativo do objeto da licitação. Na concorrência sob exame, a exigência “</w:t>
      </w:r>
      <w:r w:rsidRPr="009C0A94">
        <w:rPr>
          <w:rFonts w:ascii="Arial" w:eastAsia="Calibri" w:hAnsi="Arial" w:cs="Arial"/>
          <w:i/>
          <w:sz w:val="24"/>
        </w:rPr>
        <w:t>abarcou a quase totalidade do objeto, tanto para itens de maior quanto para os de menor monta, como é o caso de atestado que comprovasse a execução de serviço de recuperação de erosão. Este item representa apenas 2,18% do orçamento da obra</w:t>
      </w:r>
      <w:r w:rsidRPr="009C0A94">
        <w:rPr>
          <w:rFonts w:ascii="Arial" w:eastAsia="Calibri" w:hAnsi="Arial" w:cs="Arial"/>
          <w:sz w:val="24"/>
        </w:rPr>
        <w:t xml:space="preserve">”. Ao final, apresentou proposta de anulação da Concorrência 01/2011 e do contrato dela resultante, que foi endossada pelo Plenário. </w:t>
      </w:r>
      <w:r w:rsidRPr="009C0A94">
        <w:rPr>
          <w:rFonts w:ascii="Arial" w:eastAsia="Calibri" w:hAnsi="Arial" w:cs="Arial"/>
          <w:b/>
          <w:i/>
          <w:sz w:val="24"/>
        </w:rPr>
        <w:t>Acórdão n.º 2934/2011-Plenário, TC-019.269/2011-0, rel. Min. Valmir Campelo, 9.11.2011.</w:t>
      </w:r>
    </w:p>
    <w:p w:rsidR="009C0A94" w:rsidRPr="009C0A94" w:rsidRDefault="009C0A94" w:rsidP="0068243F">
      <w:pPr>
        <w:spacing w:before="120" w:after="240" w:line="360" w:lineRule="auto"/>
        <w:jc w:val="both"/>
        <w:rPr>
          <w:rFonts w:ascii="Arial" w:eastAsia="Calibri" w:hAnsi="Arial" w:cs="Arial"/>
          <w:b/>
          <w:sz w:val="24"/>
        </w:rPr>
      </w:pPr>
      <w:r w:rsidRPr="009C0A94">
        <w:rPr>
          <w:rFonts w:ascii="Arial" w:eastAsia="Calibri" w:hAnsi="Arial" w:cs="Arial"/>
          <w:b/>
          <w:sz w:val="24"/>
        </w:rPr>
        <w:t>Licitação de obra pública: 2 - É ilegal a exigência de que o profissional com habilitação técnica para execução de obra assine a declaração de disponibilidade técnica, visto que esse compromisso é da empresa, conforme se depreende dos comandos contidos nos §§ 6º e 10 do art. 30 da Lei 8.666/1993</w:t>
      </w:r>
    </w:p>
    <w:p w:rsidR="009C0A94" w:rsidRPr="009C0A94" w:rsidRDefault="009C0A94" w:rsidP="0068243F">
      <w:pPr>
        <w:spacing w:before="120" w:after="240" w:line="360" w:lineRule="auto"/>
        <w:jc w:val="both"/>
        <w:rPr>
          <w:rFonts w:ascii="Arial" w:eastAsia="Calibri" w:hAnsi="Arial" w:cs="Arial"/>
          <w:b/>
          <w:i/>
          <w:sz w:val="24"/>
        </w:rPr>
      </w:pPr>
      <w:r w:rsidRPr="009C0A94">
        <w:rPr>
          <w:rFonts w:ascii="Arial" w:eastAsia="Calibri" w:hAnsi="Arial" w:cs="Arial"/>
          <w:sz w:val="24"/>
        </w:rPr>
        <w:t>Na condução da já citada concorrência 01/2011 realizada pelo Município de Areia/PB, que tem por objeto a contratação das obras de revitalização do Parque do Quebra, também foi apontada como possível irregularidade a</w:t>
      </w:r>
      <w:r w:rsidRPr="009C0A94">
        <w:rPr>
          <w:rFonts w:ascii="Arial" w:eastAsia="Calibri" w:hAnsi="Arial" w:cs="Arial"/>
          <w:b/>
          <w:i/>
          <w:sz w:val="24"/>
        </w:rPr>
        <w:t xml:space="preserve"> </w:t>
      </w:r>
      <w:r w:rsidRPr="009C0A94">
        <w:rPr>
          <w:rFonts w:ascii="Arial" w:eastAsia="Calibri" w:hAnsi="Arial" w:cs="Arial"/>
          <w:sz w:val="24"/>
        </w:rPr>
        <w:t>inabilitação de licitante com base na exigência de que o profissional responsável pelos trabalhos assinasse a declaração de disponibilidade técnica da empresa, visto que tal exigência extrapolaria o disposto nos §§ 6º e 10 do art. 30 da Lei 8.666/1993. A comissão de licitação inabilitou empresa em razão de a declaração de disponibilidade de profissional para acompanhar a obra não estar assinada “</w:t>
      </w:r>
      <w:r w:rsidRPr="009C0A94">
        <w:rPr>
          <w:rFonts w:ascii="Arial" w:eastAsia="Calibri" w:hAnsi="Arial" w:cs="Arial"/>
          <w:i/>
          <w:sz w:val="24"/>
        </w:rPr>
        <w:t>conjuntamente pelo representante legal da empresa e o referido profissional</w:t>
      </w:r>
      <w:r w:rsidRPr="009C0A94">
        <w:rPr>
          <w:rFonts w:ascii="Arial" w:eastAsia="Calibri" w:hAnsi="Arial" w:cs="Arial"/>
          <w:sz w:val="24"/>
        </w:rPr>
        <w:t>”.  A despeito de os respectivos responsáveis e a empresa interessada terem sido chamados a se pronunciar sobre a questão, não se manifestaram a esse respeito. A unidade técnica, ao examinar a matéria, observou o que “</w:t>
      </w:r>
      <w:r w:rsidRPr="009C0A94">
        <w:rPr>
          <w:rFonts w:ascii="Arial" w:eastAsia="Calibri" w:hAnsi="Arial" w:cs="Arial"/>
          <w:i/>
          <w:sz w:val="24"/>
        </w:rPr>
        <w:t>o § 6º do art. 30 da Lei 8.666/93 estabelece que as exigências mínimas relativas a pessoal técnico especializado serão atendidas mediante a apresentação de relação explícita e da declaração formal da sua disponibilidade</w:t>
      </w:r>
      <w:r w:rsidRPr="009C0A94">
        <w:rPr>
          <w:rFonts w:ascii="Arial" w:eastAsia="Calibri" w:hAnsi="Arial" w:cs="Arial"/>
          <w:sz w:val="24"/>
        </w:rPr>
        <w:t>”. E também que “</w:t>
      </w:r>
      <w:r w:rsidRPr="009C0A94">
        <w:rPr>
          <w:rFonts w:ascii="Arial" w:eastAsia="Calibri" w:hAnsi="Arial" w:cs="Arial"/>
          <w:i/>
          <w:sz w:val="24"/>
        </w:rPr>
        <w:t xml:space="preserve">O § 10 do mesmo artigo, em complementação, diz que os profissionais </w:t>
      </w:r>
      <w:r w:rsidRPr="009C0A94">
        <w:rPr>
          <w:rFonts w:ascii="Arial" w:eastAsia="Calibri" w:hAnsi="Arial" w:cs="Arial"/>
          <w:b/>
          <w:bCs/>
          <w:i/>
          <w:sz w:val="24"/>
        </w:rPr>
        <w:t xml:space="preserve">indicados pelo licitante </w:t>
      </w:r>
      <w:r w:rsidRPr="009C0A94">
        <w:rPr>
          <w:rFonts w:ascii="Arial" w:eastAsia="Calibri" w:hAnsi="Arial" w:cs="Arial"/>
          <w:i/>
          <w:sz w:val="24"/>
        </w:rPr>
        <w:t>para fins de comprovação da capacitação técnico-profissional de que trata o inciso I do § 1º deste artigo deverão participar da obra ou serviço objeto da licitação, admitindo-se a substituição por profissionais de experiência equivalente ou superior, desde que aprovada pela administração</w:t>
      </w:r>
      <w:r w:rsidRPr="009C0A94">
        <w:rPr>
          <w:rFonts w:ascii="Arial" w:eastAsia="Calibri" w:hAnsi="Arial" w:cs="Arial"/>
          <w:sz w:val="24"/>
        </w:rPr>
        <w:t>”. A interpretação conjunta dos  comandos contidos no § 6º e no §10 do art. 30 da Lei 8.666/93 “</w:t>
      </w:r>
      <w:r w:rsidRPr="009C0A94">
        <w:rPr>
          <w:rFonts w:ascii="Arial" w:eastAsia="Calibri" w:hAnsi="Arial" w:cs="Arial"/>
          <w:i/>
          <w:sz w:val="24"/>
        </w:rPr>
        <w:t>conduz à conclusão de ser ilegal a previsão editalícia que o referido profissional também assinasse a declaração de disponibilidade técnica da empresa</w:t>
      </w:r>
      <w:r w:rsidRPr="009C0A94">
        <w:rPr>
          <w:rFonts w:ascii="Arial" w:eastAsia="Calibri" w:hAnsi="Arial" w:cs="Arial"/>
          <w:sz w:val="24"/>
        </w:rPr>
        <w:t xml:space="preserve">”, visto que o compromisso de apresentação de profissional é da empresa.  Tal ocorrência serviu também de fundamento para o Plenário determinar a anulação da Concorrência 01/2011 e do contrato dela resultante. Precedente citado: Acórdão 1.332/2006 – Plenário. </w:t>
      </w:r>
      <w:r w:rsidRPr="009C0A94">
        <w:rPr>
          <w:rFonts w:ascii="Arial" w:eastAsia="Calibri" w:hAnsi="Arial" w:cs="Arial"/>
          <w:b/>
          <w:i/>
          <w:sz w:val="24"/>
        </w:rPr>
        <w:t>Acórdão n.º 2934/2011-Plenário, TC-019.269/2011-0, rel. Min. Valmir Campelo, 9.11.2011.</w:t>
      </w:r>
    </w:p>
    <w:p w:rsidR="009C0A94" w:rsidRDefault="00F63EFB" w:rsidP="0068243F">
      <w:pPr>
        <w:spacing w:before="120" w:after="240" w:line="360" w:lineRule="auto"/>
        <w:jc w:val="center"/>
        <w:rPr>
          <w:rFonts w:ascii="Arial" w:hAnsi="Arial" w:cs="Arial"/>
          <w:b/>
          <w:sz w:val="32"/>
        </w:rPr>
      </w:pPr>
      <w:r w:rsidRPr="00F63EFB">
        <w:rPr>
          <w:rFonts w:ascii="Arial" w:hAnsi="Arial" w:cs="Arial"/>
          <w:b/>
          <w:sz w:val="32"/>
        </w:rPr>
        <w:t>86.</w:t>
      </w:r>
    </w:p>
    <w:p w:rsidR="00F63EFB" w:rsidRPr="00F63EFB" w:rsidRDefault="00F63EFB" w:rsidP="0068243F">
      <w:pPr>
        <w:spacing w:before="120" w:after="240" w:line="360" w:lineRule="auto"/>
        <w:jc w:val="both"/>
        <w:rPr>
          <w:rFonts w:ascii="Arial" w:hAnsi="Arial" w:cs="Arial"/>
          <w:b/>
          <w:sz w:val="24"/>
        </w:rPr>
      </w:pPr>
      <w:r w:rsidRPr="00F63EFB">
        <w:rPr>
          <w:rFonts w:ascii="Arial" w:hAnsi="Arial" w:cs="Arial"/>
          <w:b/>
          <w:sz w:val="24"/>
        </w:rPr>
        <w:t xml:space="preserve">A habilitação técnico-operacional só pode ser exigida de licitantes para demonstração da capacidade de execução de parcelas do objeto a ser contratado que sejam, cumulativamente, de maior relevância e de maior valor </w:t>
      </w:r>
    </w:p>
    <w:p w:rsidR="00F63EFB" w:rsidRPr="00F63EFB" w:rsidRDefault="00F63EFB" w:rsidP="0068243F">
      <w:pPr>
        <w:spacing w:before="120" w:after="240" w:line="360" w:lineRule="auto"/>
        <w:jc w:val="both"/>
        <w:rPr>
          <w:rFonts w:ascii="Arial" w:hAnsi="Arial" w:cs="Arial"/>
          <w:sz w:val="24"/>
        </w:rPr>
      </w:pPr>
      <w:r w:rsidRPr="00F63EFB">
        <w:rPr>
          <w:rFonts w:ascii="Arial" w:hAnsi="Arial" w:cs="Arial"/>
          <w:sz w:val="24"/>
        </w:rPr>
        <w:t>Representação da Secob-1, efetuada em cumprimento ao comando contido no subitem 9.3 do Acórdão 718/2011-Plenário, proferido nos autos de processo em que se examinava denúncia envolvendo supostas irregularidades no edital de licitações para as obras no Aeroporto de Confins, em Belo Horizonte/MG, aprofundou estudos acerca da “</w:t>
      </w:r>
      <w:r w:rsidRPr="00F63EFB">
        <w:rPr>
          <w:rFonts w:ascii="Arial" w:hAnsi="Arial" w:cs="Arial"/>
          <w:i/>
          <w:sz w:val="24"/>
        </w:rPr>
        <w:t>subcontratação de serviços tradicionalmente terceirizados em obras aeroportuárias bem como acerca da exigência de habilitação técnica para itens específicos de instalações de aeroportos, tais como esteiras de transporte e pontes de embarque, que têm mercado monopolizado ou de restrito número de fornecedores”, com o objetivo de “aperfeiçoar as disposições de futuros editais de licitação para obras semelhantes às tratadas nestes autos, no intuito de ampliar a competitividade e obter a proposta mais vantajosa para a administração</w:t>
      </w:r>
      <w:r w:rsidRPr="00F63EFB">
        <w:rPr>
          <w:rFonts w:ascii="Arial" w:hAnsi="Arial" w:cs="Arial"/>
          <w:sz w:val="24"/>
        </w:rPr>
        <w:t xml:space="preserve"> </w:t>
      </w:r>
      <w:r w:rsidRPr="00F63EFB">
        <w:rPr>
          <w:rFonts w:ascii="Arial" w:hAnsi="Arial" w:cs="Arial"/>
          <w:i/>
          <w:sz w:val="24"/>
        </w:rPr>
        <w:t>(...)</w:t>
      </w:r>
      <w:r w:rsidRPr="00F63EFB">
        <w:rPr>
          <w:rFonts w:ascii="Arial" w:hAnsi="Arial" w:cs="Arial"/>
          <w:sz w:val="24"/>
        </w:rPr>
        <w:t xml:space="preserve">”. A Secob-1 acusou, inicialmente, dissonância entre o comando contido no Regulamento de Licitações e Contratos da Infraero e o do art. 30, § 1º, inciso I, da Lei 8.666/93. Isso porque o normativo interno da empresa admite a exigência de atestados de experiência para comprovação da capacidade técnica em itens de maior relevância </w:t>
      </w:r>
      <w:r w:rsidRPr="00F63EFB">
        <w:rPr>
          <w:rFonts w:ascii="Arial" w:hAnsi="Arial" w:cs="Arial"/>
          <w:sz w:val="24"/>
          <w:u w:val="single"/>
        </w:rPr>
        <w:t>ou</w:t>
      </w:r>
      <w:r w:rsidRPr="00F63EFB">
        <w:rPr>
          <w:rFonts w:ascii="Arial" w:hAnsi="Arial" w:cs="Arial"/>
          <w:sz w:val="24"/>
        </w:rPr>
        <w:t xml:space="preserve"> valor significativo da obra, enquanto o entendimento já sumulado por esta Corte aponta no sentido de que tal exigência só poderia ser efetuada quando o serviço for técnica </w:t>
      </w:r>
      <w:r w:rsidRPr="00F63EFB">
        <w:rPr>
          <w:rFonts w:ascii="Arial" w:hAnsi="Arial" w:cs="Arial"/>
          <w:sz w:val="24"/>
          <w:u w:val="single"/>
        </w:rPr>
        <w:t>e</w:t>
      </w:r>
      <w:r w:rsidRPr="00F63EFB">
        <w:rPr>
          <w:rFonts w:ascii="Arial" w:hAnsi="Arial" w:cs="Arial"/>
          <w:sz w:val="24"/>
        </w:rPr>
        <w:t xml:space="preserve"> materialmente relevante (Súmula 263/2011). Em resposta a oitiva do Tribunal, a Infraero asseverou que, ao conduzir seus certames licitatórios, somente exigia demonstração de qualificação técnica, se presentes ambos os requisitos acima citados. Restou, porém, efetivamente comprovada a ilicitude apontada, conforme ressaltou a unidade técnica e o Ministério Público/TCU. Por esse motivo, o Tribunal, ao adotar proposta de encaminhamento apresentada pelo relator, decidiu “</w:t>
      </w:r>
      <w:r w:rsidRPr="00F63EFB">
        <w:rPr>
          <w:rFonts w:ascii="Arial" w:hAnsi="Arial" w:cs="Arial"/>
          <w:bCs/>
          <w:i/>
          <w:iCs/>
          <w:sz w:val="24"/>
        </w:rPr>
        <w:t>9.2. determinar à Secretaria de Aviação Civil da Presidência da República que, com base no art. 43, inciso I, da Lei 8.443/1992 e no art. 250, inciso II, do Regimento Interno do Tribunal, tome as providências para alteração do Regulamento de Licitações e Contratos da Infraero, de modo que as exigências de habilitação técnico-operacional das licitantes refiram-se, simultaneamente, às parcelas de maior relevância e de maior valor significativo do objeto a ser contratado, a fim de compatibilizar o normativo da empresa pública com o disposto no artigo 30 da Lei 8.666/1993 e com a Súmula 263/2011-TCU</w:t>
      </w:r>
      <w:r w:rsidRPr="00F63EFB">
        <w:rPr>
          <w:rFonts w:ascii="Arial" w:hAnsi="Arial" w:cs="Arial"/>
          <w:i/>
          <w:sz w:val="24"/>
        </w:rPr>
        <w:t xml:space="preserve">;”. </w:t>
      </w:r>
      <w:r w:rsidRPr="00F63EFB">
        <w:rPr>
          <w:rFonts w:ascii="Arial" w:hAnsi="Arial" w:cs="Arial"/>
          <w:b/>
          <w:i/>
          <w:sz w:val="24"/>
        </w:rPr>
        <w:t>Acórdão n.º 2992/2011-Plenário, TC-008.543/2011-9, rel. Min. Valmir Campelo, 16.11.2011</w:t>
      </w:r>
      <w:r w:rsidRPr="00F63EFB">
        <w:rPr>
          <w:rFonts w:ascii="Arial" w:hAnsi="Arial" w:cs="Arial"/>
          <w:sz w:val="24"/>
        </w:rPr>
        <w:t>.</w:t>
      </w:r>
    </w:p>
    <w:p w:rsidR="00F63EFB" w:rsidRPr="00F63EFB" w:rsidRDefault="00F63EFB" w:rsidP="0068243F">
      <w:pPr>
        <w:spacing w:before="120" w:after="240" w:line="360" w:lineRule="auto"/>
        <w:jc w:val="both"/>
        <w:rPr>
          <w:rFonts w:ascii="Arial" w:hAnsi="Arial" w:cs="Arial"/>
          <w:bCs/>
          <w:sz w:val="24"/>
        </w:rPr>
      </w:pPr>
    </w:p>
    <w:p w:rsidR="00F63EFB" w:rsidRPr="00F63EFB" w:rsidRDefault="00F63EFB" w:rsidP="0068243F">
      <w:pPr>
        <w:spacing w:before="120" w:after="240" w:line="360" w:lineRule="auto"/>
        <w:jc w:val="both"/>
        <w:rPr>
          <w:rFonts w:ascii="Arial" w:hAnsi="Arial" w:cs="Arial"/>
          <w:b/>
          <w:sz w:val="24"/>
        </w:rPr>
      </w:pPr>
      <w:r w:rsidRPr="00F63EFB">
        <w:rPr>
          <w:rFonts w:ascii="Arial" w:hAnsi="Arial" w:cs="Arial"/>
          <w:b/>
          <w:sz w:val="24"/>
        </w:rPr>
        <w:t>Em obras aeroportuárias a exigência de qualificação técnica deve-se limitar, nas situações ordinárias, à demonstração de expertise na execução de obras similares ou equivalentes, em respeito ao comando contido no art. 3º, § 1º, inciso I, da Lei 8.666/93</w:t>
      </w:r>
    </w:p>
    <w:p w:rsidR="00F63EFB" w:rsidRPr="00F63EFB" w:rsidRDefault="00F63EFB" w:rsidP="0068243F">
      <w:pPr>
        <w:spacing w:before="120" w:after="240" w:line="360" w:lineRule="auto"/>
        <w:jc w:val="both"/>
        <w:rPr>
          <w:rFonts w:ascii="Arial" w:hAnsi="Arial" w:cs="Arial"/>
          <w:sz w:val="24"/>
        </w:rPr>
      </w:pPr>
      <w:r w:rsidRPr="00F63EFB">
        <w:rPr>
          <w:rFonts w:ascii="Arial" w:hAnsi="Arial" w:cs="Arial"/>
          <w:sz w:val="24"/>
        </w:rPr>
        <w:t>Na citada representação da Secob-1, o relator tratou da exigência de atestados de qualificação técnica para a execução de itens que integram obras aeroportuárias e da subcontratação de serviços tradicionalmente terceirizados em obras aeroportuárias. Endossou entendimento da unidade técnica, segundo o qual, em vez de se exigir a apresentação de atestados de diversas parcelas do objeto licitado e de se proibir a subcontratação das referidas parcelas, “</w:t>
      </w:r>
      <w:r w:rsidRPr="00F63EFB">
        <w:rPr>
          <w:rFonts w:ascii="Arial" w:hAnsi="Arial" w:cs="Arial"/>
          <w:i/>
          <w:sz w:val="24"/>
        </w:rPr>
        <w:t>parece mais salutar que a Infraero exija apenas a comprovação de que as licitantes executaram obra similar ou equivalente, flexibilizando a subcontratação dos diversos serviços e parcelas da obra e deixando a cargo da iniciativa privada fazer a melhor gestão da execução dos recursos necessários à conclusão do objeto</w:t>
      </w:r>
      <w:r w:rsidRPr="00F63EFB">
        <w:rPr>
          <w:rFonts w:ascii="Arial" w:hAnsi="Arial" w:cs="Arial"/>
          <w:sz w:val="24"/>
        </w:rPr>
        <w:t>". O relator, ao discorrer a esse respeito, abordou a execução de itens usuais em obras aeroportuárias e exemplificou: “</w:t>
      </w:r>
      <w:r w:rsidRPr="00F63EFB">
        <w:rPr>
          <w:rFonts w:ascii="Arial" w:hAnsi="Arial" w:cs="Arial"/>
          <w:i/>
          <w:sz w:val="24"/>
        </w:rPr>
        <w:t>É inegável que em praticamente todos os aeroportos existirão esteiras de bagagem, e isso independe do seu tamanho. Questiono, portanto, em que incrementará a solicitação de comprovação da experiência anterior nesse tipo de serviço, quando, inexoravelmente, ao se comprovar a execução bem sucedida da construção de outro aeroporto, já se ‘embute’ o ‘saber fazer’ na execução dessas esteiras</w:t>
      </w:r>
      <w:r w:rsidRPr="00F63EFB">
        <w:rPr>
          <w:rFonts w:ascii="Arial" w:hAnsi="Arial" w:cs="Arial"/>
          <w:sz w:val="24"/>
        </w:rPr>
        <w:t>”. Estendeu esse raciocínio a outros serviços, como o de movimentação de terra em pistas de pouso e o de fundações corriqueiras em edificações. Nesses casos, bastaria “</w:t>
      </w:r>
      <w:r w:rsidRPr="00F63EFB">
        <w:rPr>
          <w:rFonts w:ascii="Arial" w:hAnsi="Arial" w:cs="Arial"/>
          <w:i/>
          <w:sz w:val="24"/>
        </w:rPr>
        <w:t>demonstrar a habilidade em executar uma pista de pouso com tamanho compatível; ou uma edificação com características semelhantes</w:t>
      </w:r>
      <w:r w:rsidRPr="00F63EFB">
        <w:rPr>
          <w:rFonts w:ascii="Arial" w:hAnsi="Arial" w:cs="Arial"/>
          <w:sz w:val="24"/>
        </w:rPr>
        <w:t xml:space="preserve">”. Ressaltou, então, a necessidade de observância do comando contido no art. 3º, § 1º, inciso I, da Lei 8.666/93, segundo o qual é vedado aos agentes públicos </w:t>
      </w:r>
      <w:r w:rsidRPr="00F63EFB">
        <w:rPr>
          <w:rFonts w:ascii="Arial" w:hAnsi="Arial" w:cs="Arial"/>
          <w:i/>
          <w:sz w:val="24"/>
        </w:rPr>
        <w:t xml:space="preserve">"admitir, prever, incluir ou tolerar, nos atos de convocação, cláusulas ou condições que comprometam, restrinjam ou frustrem o seu caráter competitivo, (...) ou de qualquer outra circunstância impertinente ou </w:t>
      </w:r>
      <w:r w:rsidRPr="00F63EFB">
        <w:rPr>
          <w:rFonts w:ascii="Arial" w:hAnsi="Arial" w:cs="Arial"/>
          <w:b/>
          <w:i/>
          <w:sz w:val="24"/>
          <w:u w:val="single"/>
        </w:rPr>
        <w:t>irrelevante</w:t>
      </w:r>
      <w:r w:rsidRPr="00F63EFB">
        <w:rPr>
          <w:rFonts w:ascii="Arial" w:hAnsi="Arial" w:cs="Arial"/>
          <w:i/>
          <w:sz w:val="24"/>
        </w:rPr>
        <w:t xml:space="preserve"> para o específico objeto do contrato (...)</w:t>
      </w:r>
      <w:r w:rsidRPr="00F63EFB">
        <w:rPr>
          <w:rFonts w:ascii="Arial" w:hAnsi="Arial" w:cs="Arial"/>
          <w:sz w:val="24"/>
        </w:rPr>
        <w:t>" – grifo do relator</w:t>
      </w:r>
      <w:r w:rsidRPr="00F63EFB">
        <w:rPr>
          <w:rFonts w:ascii="Arial" w:hAnsi="Arial" w:cs="Arial"/>
          <w:i/>
          <w:sz w:val="24"/>
        </w:rPr>
        <w:t xml:space="preserve">. </w:t>
      </w:r>
      <w:r w:rsidRPr="00F63EFB">
        <w:rPr>
          <w:rFonts w:ascii="Arial" w:hAnsi="Arial" w:cs="Arial"/>
          <w:sz w:val="24"/>
        </w:rPr>
        <w:t>Propôs, ao final, a realização de determinação à Infraero, que foi acolhida pelo Plenário, e que assumiu a seguinte redação: “</w:t>
      </w:r>
      <w:r w:rsidRPr="00F63EFB">
        <w:rPr>
          <w:rFonts w:ascii="Arial" w:hAnsi="Arial" w:cs="Arial"/>
          <w:i/>
          <w:sz w:val="24"/>
        </w:rPr>
        <w:t>9.3.1. verifique a estrita necessidade de solicitar atestados de capacidade técnico-operacional e profissional para comprovação de experiência dos licitantes em serviços ou itens específicos da obra, limitando tais exigências, nas situações ordinárias, à expertise na execução de obras similares ou equivalentes tidas como um todo, por desnecessária restrição à competitividade do certame, em respeito ao art. 3º, § 1º, inciso I, da Lei 8.666/93;</w:t>
      </w:r>
      <w:r w:rsidRPr="00F63EFB">
        <w:rPr>
          <w:rFonts w:ascii="Arial" w:hAnsi="Arial" w:cs="Arial"/>
          <w:sz w:val="24"/>
        </w:rPr>
        <w:t xml:space="preserve">”. </w:t>
      </w:r>
      <w:r w:rsidRPr="00F63EFB">
        <w:rPr>
          <w:rFonts w:ascii="Arial" w:hAnsi="Arial" w:cs="Arial"/>
          <w:b/>
          <w:i/>
          <w:sz w:val="24"/>
        </w:rPr>
        <w:t>Acórdão n.º 2992/2011-Plenário, TC-008.543/2011-9, rel. Min. Valmir Campelo, 16.11.2011</w:t>
      </w:r>
      <w:r w:rsidRPr="00F63EFB">
        <w:rPr>
          <w:rFonts w:ascii="Arial" w:hAnsi="Arial" w:cs="Arial"/>
          <w:sz w:val="24"/>
        </w:rPr>
        <w:t>.</w:t>
      </w:r>
    </w:p>
    <w:p w:rsidR="00F63EFB" w:rsidRPr="00F63EFB" w:rsidRDefault="00F63EFB" w:rsidP="0068243F">
      <w:pPr>
        <w:spacing w:before="120" w:after="240" w:line="360" w:lineRule="auto"/>
        <w:jc w:val="both"/>
        <w:rPr>
          <w:rFonts w:ascii="Arial" w:hAnsi="Arial" w:cs="Arial"/>
          <w:bCs/>
          <w:sz w:val="24"/>
        </w:rPr>
      </w:pPr>
    </w:p>
    <w:p w:rsidR="00F63EFB" w:rsidRPr="00F63EFB" w:rsidRDefault="00F63EFB" w:rsidP="0068243F">
      <w:pPr>
        <w:spacing w:before="120" w:after="240" w:line="360" w:lineRule="auto"/>
        <w:jc w:val="both"/>
        <w:rPr>
          <w:rFonts w:ascii="Arial" w:hAnsi="Arial" w:cs="Arial"/>
          <w:b/>
          <w:bCs/>
          <w:sz w:val="24"/>
        </w:rPr>
      </w:pPr>
      <w:r w:rsidRPr="00F63EFB">
        <w:rPr>
          <w:rFonts w:ascii="Arial" w:hAnsi="Arial" w:cs="Arial"/>
          <w:b/>
          <w:bCs/>
          <w:iCs/>
          <w:sz w:val="24"/>
        </w:rPr>
        <w:t xml:space="preserve">Para a realização de parcela da obra aeroportuária que seja técnica e materialmente relevante e que, por sua especialidade, seja normalmente subcontratada, deve-se proceder ao parcelamento do objeto a ser a ser licitado ou, se isso não for viável, deve-se admitir a participação de consórcios na licitação </w:t>
      </w:r>
    </w:p>
    <w:p w:rsidR="00F63EFB" w:rsidRPr="00F63EFB" w:rsidRDefault="00F63EFB" w:rsidP="0068243F">
      <w:pPr>
        <w:spacing w:before="120" w:after="240" w:line="360" w:lineRule="auto"/>
        <w:jc w:val="both"/>
        <w:rPr>
          <w:rFonts w:ascii="Arial" w:hAnsi="Arial" w:cs="Arial"/>
          <w:sz w:val="24"/>
        </w:rPr>
      </w:pPr>
      <w:r w:rsidRPr="00F63EFB">
        <w:rPr>
          <w:rFonts w:ascii="Arial" w:hAnsi="Arial" w:cs="Arial"/>
          <w:sz w:val="24"/>
        </w:rPr>
        <w:t xml:space="preserve">Na mesma representação da Secob-1, que abordou a subcontratação de serviços em obras aeroportuárias, tratou-se, também, das parcelas de maior relevância e de valor significativo que, efetivamente, justificam a exigência de habilitação técnica para sua realização. Ao esquadrinhar esse aspecto do tema abordado, o relator pugnou pela validade do comando contido no </w:t>
      </w:r>
      <w:r w:rsidRPr="00F63EFB">
        <w:rPr>
          <w:rFonts w:ascii="Arial" w:hAnsi="Arial" w:cs="Arial"/>
          <w:bCs/>
          <w:iCs/>
          <w:sz w:val="24"/>
        </w:rPr>
        <w:t xml:space="preserve">art. 126, § 1º, do Regulamento de Licitações e Contratos da Infraero, segundo o qual, </w:t>
      </w:r>
      <w:r w:rsidRPr="00F63EFB">
        <w:rPr>
          <w:rFonts w:ascii="Arial" w:hAnsi="Arial" w:cs="Arial"/>
          <w:i/>
          <w:sz w:val="24"/>
        </w:rPr>
        <w:t>"§ 1° será vedada a subcontratação: I – sobre parcelas ou itens referentes à qualificação técnica exigida para efeito de habilitação da empresa vencedora do certame;</w:t>
      </w:r>
      <w:r w:rsidRPr="00F63EFB">
        <w:rPr>
          <w:rFonts w:ascii="Arial" w:hAnsi="Arial" w:cs="Arial"/>
          <w:sz w:val="24"/>
        </w:rPr>
        <w:t>". Ressaltou, ainda, que, nessa hipótese, deve ser permitida “</w:t>
      </w:r>
      <w:r w:rsidRPr="00F63EFB">
        <w:rPr>
          <w:rFonts w:ascii="Arial" w:hAnsi="Arial" w:cs="Arial"/>
          <w:i/>
          <w:sz w:val="24"/>
        </w:rPr>
        <w:t>a formação de consórcios – ou, antes disso, caso seja técnica, prática e economicamente viável, o parcelamento da licitação, nos termos do art. 23, § 1º, da Lei 8.666/93 e da Súmula 247/2011-TCU – para não ensejar restrição indevida ou comprometimento quanto a garantia da experiência da futura contratada</w:t>
      </w:r>
      <w:r w:rsidRPr="00F63EFB">
        <w:rPr>
          <w:rFonts w:ascii="Arial" w:hAnsi="Arial" w:cs="Arial"/>
          <w:sz w:val="24"/>
        </w:rPr>
        <w:t>”. Por esses motivos, propôs a formulação de determinação à Infraero, que foi acolhida pelo Plenário e assumiu a seguinte redação: “</w:t>
      </w:r>
      <w:r w:rsidRPr="00F63EFB">
        <w:rPr>
          <w:rFonts w:ascii="Arial" w:hAnsi="Arial" w:cs="Arial"/>
          <w:bCs/>
          <w:i/>
          <w:iCs/>
          <w:sz w:val="24"/>
        </w:rPr>
        <w:t>9.3.2.1. em razão da vedação à subcontratação de serviços para os quais se solicitem atestados de capacidade técnica, tal qual consta do art. 126, § 1º, do Regulamento de Licitações e Contratos da Infraero, caso o encargo seja materialmente relevante e, por sua especialidade, seja normalmente subcontratado pelas empresas de engenharia em objeto congênere, verifique a viabilidade do parcelamento da licitação, nos termos da Súmula 247-TCU, ou, se tecnicamente, praticamente ou economicamente inviável, autorize a formação de consórcios no instrumento convocatório, nos moldes do art. 33 da Lei 8.666/93;</w:t>
      </w:r>
      <w:r w:rsidRPr="00F63EFB">
        <w:rPr>
          <w:rFonts w:ascii="Arial" w:hAnsi="Arial" w:cs="Arial"/>
          <w:bCs/>
          <w:iCs/>
          <w:sz w:val="24"/>
        </w:rPr>
        <w:t xml:space="preserve">”. </w:t>
      </w:r>
      <w:r w:rsidRPr="00F63EFB">
        <w:rPr>
          <w:rFonts w:ascii="Arial" w:hAnsi="Arial" w:cs="Arial"/>
          <w:b/>
          <w:i/>
          <w:sz w:val="24"/>
        </w:rPr>
        <w:t>Acórdão n.º 2992/2011-Plenário, TC-008.543/2011-9, rel. Min. Valmir Campelo, 16.11.2011</w:t>
      </w:r>
      <w:r w:rsidRPr="00F63EFB">
        <w:rPr>
          <w:rFonts w:ascii="Arial" w:hAnsi="Arial" w:cs="Arial"/>
          <w:sz w:val="24"/>
        </w:rPr>
        <w:t>.</w:t>
      </w:r>
    </w:p>
    <w:p w:rsidR="00F63EFB" w:rsidRPr="00F63EFB" w:rsidRDefault="00F63EFB" w:rsidP="0068243F">
      <w:pPr>
        <w:spacing w:before="120" w:after="240" w:line="360" w:lineRule="auto"/>
        <w:jc w:val="both"/>
        <w:rPr>
          <w:rFonts w:ascii="Arial" w:hAnsi="Arial" w:cs="Arial"/>
          <w:sz w:val="24"/>
        </w:rPr>
      </w:pPr>
    </w:p>
    <w:p w:rsidR="00F63EFB" w:rsidRPr="00F63EFB" w:rsidRDefault="00F63EFB" w:rsidP="0068243F">
      <w:pPr>
        <w:spacing w:before="120" w:after="240" w:line="360" w:lineRule="auto"/>
        <w:jc w:val="both"/>
        <w:rPr>
          <w:rFonts w:ascii="Arial" w:hAnsi="Arial" w:cs="Arial"/>
          <w:b/>
          <w:sz w:val="24"/>
        </w:rPr>
      </w:pPr>
      <w:r w:rsidRPr="00F63EFB">
        <w:rPr>
          <w:rFonts w:ascii="Arial" w:hAnsi="Arial" w:cs="Arial"/>
          <w:b/>
          <w:sz w:val="24"/>
        </w:rPr>
        <w:t xml:space="preserve">Não é cabível a exigência de atestados de capacitação técnica visando à comprovação de experiência para a execução de serviços técnica e materialmente relevantes, passíveis de serem executados apenas por poucas empresas, e que, por circunstância de mercado, já se saiba de antemão que serão subcontratados  </w:t>
      </w:r>
    </w:p>
    <w:p w:rsidR="00F63EFB" w:rsidRPr="00F63EFB" w:rsidRDefault="00F63EFB" w:rsidP="0068243F">
      <w:pPr>
        <w:spacing w:before="120" w:after="240" w:line="360" w:lineRule="auto"/>
        <w:jc w:val="both"/>
        <w:rPr>
          <w:rFonts w:ascii="Arial" w:hAnsi="Arial" w:cs="Arial"/>
          <w:sz w:val="24"/>
        </w:rPr>
      </w:pPr>
      <w:r w:rsidRPr="00F63EFB">
        <w:rPr>
          <w:rFonts w:ascii="Arial" w:hAnsi="Arial" w:cs="Arial"/>
          <w:sz w:val="24"/>
        </w:rPr>
        <w:t>Ainda na representação da Secob 1, o relator cuidou de hipótese em que, por circunstância de mercado, já se saiba que determinada fração do objeto licitado será subcontratada, e que, “</w:t>
      </w:r>
      <w:r w:rsidRPr="00F63EFB">
        <w:rPr>
          <w:rFonts w:ascii="Arial" w:hAnsi="Arial" w:cs="Arial"/>
          <w:i/>
          <w:sz w:val="24"/>
        </w:rPr>
        <w:t>pela especialidade do encargo, pouquíssimas empresas dominem essa técnica construtiva ou detenham exclusividade no fornecimento de determinado insumo, formando monopólios ou oligopólios</w:t>
      </w:r>
      <w:r w:rsidRPr="00F63EFB">
        <w:rPr>
          <w:rFonts w:ascii="Arial" w:hAnsi="Arial" w:cs="Arial"/>
          <w:sz w:val="24"/>
        </w:rPr>
        <w:t>”. Ponderou, a esse respeito, que, em face da proibição de subcontratar a parte principal do objeto, “</w:t>
      </w:r>
      <w:r w:rsidRPr="00F63EFB">
        <w:rPr>
          <w:rFonts w:ascii="Arial" w:hAnsi="Arial" w:cs="Arial"/>
          <w:i/>
          <w:sz w:val="24"/>
        </w:rPr>
        <w:t>as poucas empresas aptas a executar esses serviços darão ensejo – quando muito – à formação de um pequeno número de consórcios</w:t>
      </w:r>
      <w:r w:rsidRPr="00F63EFB">
        <w:rPr>
          <w:rFonts w:ascii="Arial" w:hAnsi="Arial" w:cs="Arial"/>
          <w:sz w:val="24"/>
        </w:rPr>
        <w:t>”. Anotou, ainda, não haver justificativa para se exigir, nesses casos, atestados de qualificação técnica para demonstração da capacidade de execução do respectivo serviço. Isso porque “</w:t>
      </w:r>
      <w:r w:rsidRPr="00F63EFB">
        <w:rPr>
          <w:rFonts w:ascii="Arial" w:hAnsi="Arial" w:cs="Arial"/>
          <w:i/>
          <w:sz w:val="24"/>
        </w:rPr>
        <w:t>Poucas empresas – e somente elas – estarão aptas a executar essa parcela peculiar do objeto. Não existe ganho, portanto, em se limitar a concorrência. Perde-se um valor (o da competitividade) sem a contraprestação de outro (o da melhor proposta)</w:t>
      </w:r>
      <w:r w:rsidRPr="00F63EFB">
        <w:rPr>
          <w:rFonts w:ascii="Arial" w:hAnsi="Arial" w:cs="Arial"/>
          <w:sz w:val="24"/>
        </w:rPr>
        <w:t>”. Por esses motivos, ofereceu proposta de determinação à Infraero, com intuito de balizar seus procedimentos em situações desse gênero. O Plenário do Tribunal, ao acolher o encaminhamento sugerido pelo relator, decidiu determinar à Infraero que: “</w:t>
      </w:r>
      <w:r w:rsidRPr="00F63EFB">
        <w:rPr>
          <w:rFonts w:ascii="Arial" w:hAnsi="Arial" w:cs="Arial"/>
          <w:i/>
          <w:sz w:val="24"/>
        </w:rPr>
        <w:t>9.3.2.2. no caso da existência de monopólio ou oligopólio na execução de serviço usualmente subcontratado, com pequeno número de empresas aptas ao fornecimento de determinado equipamento ou domínio da tecnologia construtiva tecnicamente e materialmente relevantes, abstenha-se de solicitar atestados de capacidade técnica relativos à comprovação de experiência para a sua execução</w:t>
      </w:r>
      <w:r w:rsidRPr="00F63EFB">
        <w:rPr>
          <w:rFonts w:ascii="Arial" w:hAnsi="Arial" w:cs="Arial"/>
          <w:sz w:val="24"/>
        </w:rPr>
        <w:t xml:space="preserve">”. </w:t>
      </w:r>
      <w:r w:rsidRPr="00F63EFB">
        <w:rPr>
          <w:rFonts w:ascii="Arial" w:hAnsi="Arial" w:cs="Arial"/>
          <w:b/>
          <w:i/>
          <w:sz w:val="24"/>
        </w:rPr>
        <w:t>Acórdão n.º 2992/2011-Plenário, TC-008.543/2011-9, rel. Min. Valmir Campelo, 16.11.2011</w:t>
      </w:r>
      <w:r w:rsidRPr="00F63EFB">
        <w:rPr>
          <w:rFonts w:ascii="Arial" w:hAnsi="Arial" w:cs="Arial"/>
          <w:sz w:val="24"/>
        </w:rPr>
        <w:t>.</w:t>
      </w:r>
    </w:p>
    <w:p w:rsidR="00F63EFB" w:rsidRPr="00F63EFB" w:rsidRDefault="00F63EFB" w:rsidP="0068243F">
      <w:pPr>
        <w:spacing w:before="120" w:after="240" w:line="360" w:lineRule="auto"/>
        <w:jc w:val="both"/>
        <w:rPr>
          <w:rFonts w:ascii="Arial" w:hAnsi="Arial" w:cs="Arial"/>
          <w:sz w:val="24"/>
        </w:rPr>
      </w:pPr>
    </w:p>
    <w:p w:rsidR="00F63EFB" w:rsidRPr="00F63EFB" w:rsidRDefault="00F63EFB" w:rsidP="0068243F">
      <w:pPr>
        <w:spacing w:before="120" w:after="240" w:line="360" w:lineRule="auto"/>
        <w:jc w:val="both"/>
        <w:rPr>
          <w:rFonts w:ascii="Arial" w:hAnsi="Arial" w:cs="Arial"/>
          <w:b/>
          <w:sz w:val="24"/>
        </w:rPr>
      </w:pPr>
      <w:r w:rsidRPr="00F63EFB">
        <w:rPr>
          <w:rFonts w:ascii="Arial" w:hAnsi="Arial" w:cs="Arial"/>
          <w:b/>
          <w:sz w:val="24"/>
        </w:rPr>
        <w:t>No caso de subcontratação de parcela da obra para a qual houve solicitação de atestados de qualificação técnica na licitação, ou na hipótese de não terem sido exigidos atestados por se tratar de serviço usualmente prestado por limitadíssimo número de empresas, a contratada original deve exigir da subcontratada comprovação de capacidade técnica, disposição essa que deve constar, necessariamente, do instrumento convocatório</w:t>
      </w:r>
    </w:p>
    <w:p w:rsidR="00F63EFB" w:rsidRPr="00F63EFB" w:rsidRDefault="00F63EFB" w:rsidP="0068243F">
      <w:pPr>
        <w:spacing w:before="120" w:after="240" w:line="360" w:lineRule="auto"/>
        <w:jc w:val="both"/>
        <w:rPr>
          <w:rFonts w:ascii="Arial" w:hAnsi="Arial" w:cs="Arial"/>
          <w:sz w:val="24"/>
        </w:rPr>
      </w:pPr>
      <w:r w:rsidRPr="00F63EFB">
        <w:rPr>
          <w:rFonts w:ascii="Arial" w:hAnsi="Arial" w:cs="Arial"/>
          <w:sz w:val="24"/>
        </w:rPr>
        <w:t xml:space="preserve">Nessa mesma representação da Secob-1, o relator, a despeito de reconhecer a validade do comando contido no </w:t>
      </w:r>
      <w:r w:rsidRPr="00F63EFB">
        <w:rPr>
          <w:rFonts w:ascii="Arial" w:hAnsi="Arial" w:cs="Arial"/>
          <w:bCs/>
          <w:iCs/>
          <w:sz w:val="24"/>
        </w:rPr>
        <w:t xml:space="preserve">art. 126, § 1º, do Regulamento de Licitações e Contratos da Infraero, segundo o qual, </w:t>
      </w:r>
      <w:r w:rsidRPr="00F63EFB">
        <w:rPr>
          <w:rFonts w:ascii="Arial" w:hAnsi="Arial" w:cs="Arial"/>
          <w:i/>
          <w:sz w:val="24"/>
        </w:rPr>
        <w:t>"§ 1° será vedada a subcontratação: I – sobre parcelas ou itens referentes à qualificação técnica exigida para efeito de habilitação da empresa vencedora do certame;</w:t>
      </w:r>
      <w:r w:rsidRPr="00F63EFB">
        <w:rPr>
          <w:rFonts w:ascii="Arial" w:hAnsi="Arial" w:cs="Arial"/>
          <w:sz w:val="24"/>
        </w:rPr>
        <w:t>", cogitou a possibilidade de a Infraero alterar esse regramento e passar a admitir a subcontratação de parcelas para as quais tenham sido requeridos atestados de qualificação técnica da empresa. Assim sendo, na hipótese de que tal mudança normativa venha a ser implementada, entende o relator que as empresas contratadas, como condicionante de autorização para a subcontratação dos respectivos serviços, devem exigir das subcontratadas a apresentação de atestados de qualificação para esses itens. Considerou pertinente, também, estender tal raciocínio às situações em que se verifica monopólio ou oligopólio de empresas para a prestação de serviço usualmente subcontratado. Ao acolher o encaminhamento proposto pelo relator, o Plenário determinou à Infraero que: “</w:t>
      </w:r>
      <w:r w:rsidRPr="00F63EFB">
        <w:rPr>
          <w:rFonts w:ascii="Arial" w:hAnsi="Arial" w:cs="Arial"/>
          <w:i/>
          <w:sz w:val="24"/>
        </w:rPr>
        <w:t>9.3.3. exija das contratadas originais, nos casos abrangidos pelo subitem 9.3.2.2</w:t>
      </w:r>
      <w:r w:rsidRPr="00F63EFB">
        <w:rPr>
          <w:rFonts w:ascii="Arial" w:hAnsi="Arial" w:cs="Arial"/>
          <w:sz w:val="24"/>
        </w:rPr>
        <w:t xml:space="preserve"> </w:t>
      </w:r>
      <w:r w:rsidRPr="00F63EFB">
        <w:rPr>
          <w:rFonts w:ascii="Arial" w:hAnsi="Arial" w:cs="Arial"/>
          <w:i/>
          <w:sz w:val="24"/>
        </w:rPr>
        <w:t xml:space="preserve">desta decisão </w:t>
      </w:r>
      <w:r w:rsidRPr="00F63EFB">
        <w:rPr>
          <w:rFonts w:ascii="Arial" w:hAnsi="Arial" w:cs="Arial"/>
          <w:sz w:val="24"/>
        </w:rPr>
        <w:t xml:space="preserve">[vide tópico anterior deste informativo] </w:t>
      </w:r>
      <w:r w:rsidRPr="00F63EFB">
        <w:rPr>
          <w:rFonts w:ascii="Arial" w:hAnsi="Arial" w:cs="Arial"/>
          <w:i/>
          <w:sz w:val="24"/>
        </w:rPr>
        <w:t>ou no caso da subcontratação de parcela da obra para a qual houve solicitação de atestados de qualificação técnica na licitação, como condicionante de autorização para execução dos serviços, a comprovação de experiência das subcontratadas para verificação de sua capacidade técnica, disposição essa que deve constar, necessariamente, do instrumento convocatório;</w:t>
      </w:r>
      <w:r w:rsidRPr="00F63EFB">
        <w:rPr>
          <w:rFonts w:ascii="Arial" w:hAnsi="Arial" w:cs="Arial"/>
          <w:sz w:val="24"/>
        </w:rPr>
        <w:t xml:space="preserve">”. </w:t>
      </w:r>
      <w:r w:rsidRPr="00F63EFB">
        <w:rPr>
          <w:rFonts w:ascii="Arial" w:hAnsi="Arial" w:cs="Arial"/>
          <w:b/>
          <w:i/>
          <w:sz w:val="24"/>
        </w:rPr>
        <w:t>Acórdão n.º 2992/2011-Plenário, TC-008.543/2011-9, rel. Min. Valmir Campelo, 16.11.2011</w:t>
      </w:r>
      <w:r w:rsidRPr="00F63EFB">
        <w:rPr>
          <w:rFonts w:ascii="Arial" w:hAnsi="Arial" w:cs="Arial"/>
          <w:sz w:val="24"/>
        </w:rPr>
        <w:t>.</w:t>
      </w:r>
    </w:p>
    <w:p w:rsidR="00F63EFB" w:rsidRDefault="00F63EFB" w:rsidP="0068243F">
      <w:pPr>
        <w:spacing w:before="120" w:after="240" w:line="360" w:lineRule="auto"/>
        <w:jc w:val="both"/>
        <w:rPr>
          <w:rFonts w:ascii="Arial" w:hAnsi="Arial" w:cs="Arial"/>
          <w:sz w:val="24"/>
        </w:rPr>
      </w:pPr>
    </w:p>
    <w:p w:rsidR="00985303" w:rsidRPr="004265A1" w:rsidRDefault="00985303" w:rsidP="0068243F">
      <w:pPr>
        <w:spacing w:before="120" w:after="240" w:line="360" w:lineRule="auto"/>
        <w:jc w:val="center"/>
        <w:rPr>
          <w:rFonts w:ascii="Arial" w:hAnsi="Arial" w:cs="Arial"/>
          <w:color w:val="FF0000"/>
          <w:sz w:val="32"/>
          <w:szCs w:val="32"/>
        </w:rPr>
      </w:pPr>
      <w:r w:rsidRPr="004265A1">
        <w:rPr>
          <w:rFonts w:ascii="Arial" w:hAnsi="Arial" w:cs="Arial"/>
          <w:color w:val="FF0000"/>
          <w:sz w:val="32"/>
          <w:szCs w:val="32"/>
        </w:rPr>
        <w:t>98.</w:t>
      </w:r>
    </w:p>
    <w:p w:rsidR="00985303" w:rsidRPr="00985303" w:rsidRDefault="00985303" w:rsidP="0068243F">
      <w:pPr>
        <w:spacing w:before="120" w:after="240" w:line="360" w:lineRule="auto"/>
        <w:jc w:val="center"/>
        <w:rPr>
          <w:rFonts w:ascii="Arial" w:hAnsi="Arial" w:cs="Arial"/>
          <w:sz w:val="32"/>
          <w:szCs w:val="32"/>
        </w:rPr>
      </w:pPr>
    </w:p>
    <w:p w:rsidR="00985303" w:rsidRDefault="00985303" w:rsidP="0068243F">
      <w:pPr>
        <w:autoSpaceDE w:val="0"/>
        <w:autoSpaceDN w:val="0"/>
        <w:adjustRightInd w:val="0"/>
        <w:spacing w:after="0" w:line="360" w:lineRule="auto"/>
        <w:jc w:val="both"/>
        <w:rPr>
          <w:rFonts w:ascii="Arial" w:hAnsi="Arial" w:cs="Arial"/>
          <w:b/>
          <w:iCs/>
          <w:sz w:val="24"/>
          <w:szCs w:val="24"/>
        </w:rPr>
      </w:pPr>
      <w:r w:rsidRPr="00985303">
        <w:rPr>
          <w:rFonts w:ascii="Arial" w:hAnsi="Arial" w:cs="Arial"/>
          <w:b/>
          <w:iCs/>
          <w:sz w:val="24"/>
          <w:szCs w:val="24"/>
        </w:rPr>
        <w:t>A exigência de atestados de capacidade técnica com registro de quantitativos superiores aos do serviço que se pretende contratar configura, em avaliação preliminar, restrição ao caráter competitivo de certame licitatório e justifica sua suspensão cautelar</w:t>
      </w:r>
    </w:p>
    <w:p w:rsidR="00985303" w:rsidRPr="00985303" w:rsidRDefault="00985303" w:rsidP="0068243F">
      <w:pPr>
        <w:autoSpaceDE w:val="0"/>
        <w:autoSpaceDN w:val="0"/>
        <w:adjustRightInd w:val="0"/>
        <w:spacing w:after="0" w:line="360" w:lineRule="auto"/>
        <w:jc w:val="both"/>
        <w:rPr>
          <w:rFonts w:ascii="Arial" w:hAnsi="Arial" w:cs="Arial"/>
          <w:b/>
          <w:sz w:val="24"/>
          <w:szCs w:val="24"/>
        </w:rPr>
      </w:pPr>
    </w:p>
    <w:p w:rsidR="00985303" w:rsidRDefault="00985303" w:rsidP="0068243F">
      <w:pPr>
        <w:autoSpaceDE w:val="0"/>
        <w:autoSpaceDN w:val="0"/>
        <w:adjustRightInd w:val="0"/>
        <w:spacing w:after="0" w:line="360" w:lineRule="auto"/>
        <w:jc w:val="both"/>
        <w:rPr>
          <w:rFonts w:ascii="Arial" w:hAnsi="Arial" w:cs="Arial"/>
          <w:b/>
          <w:i/>
          <w:sz w:val="24"/>
          <w:szCs w:val="24"/>
        </w:rPr>
      </w:pPr>
      <w:r w:rsidRPr="00985303">
        <w:rPr>
          <w:rFonts w:ascii="Arial" w:hAnsi="Arial" w:cs="Arial"/>
          <w:sz w:val="24"/>
          <w:szCs w:val="24"/>
        </w:rPr>
        <w:t xml:space="preserve">Representação, com pedido de medida cautelar, deu conta de possíveis irregularidades no âmbito do Pregão Eletrônico nº 302/2011 promovido pelo Hospital Universitário de Brasília (HUB) para contratação de  serviços de limpeza hospitalar. Constou do respectivo edital </w:t>
      </w:r>
      <w:r w:rsidRPr="00985303">
        <w:rPr>
          <w:rFonts w:ascii="Arial" w:hAnsi="Arial" w:cs="Arial"/>
          <w:iCs/>
          <w:sz w:val="24"/>
          <w:szCs w:val="24"/>
        </w:rPr>
        <w:t>requisito de habilitação (subitem 11.2.4) segundo o qual a licitante melhor classificada na fase de lances deveria apresentar</w:t>
      </w:r>
      <w:r w:rsidRPr="00985303">
        <w:rPr>
          <w:rFonts w:ascii="Arial" w:hAnsi="Arial" w:cs="Arial"/>
          <w:i/>
          <w:iCs/>
          <w:sz w:val="24"/>
          <w:szCs w:val="24"/>
        </w:rPr>
        <w:t xml:space="preserve"> </w:t>
      </w:r>
      <w:r w:rsidRPr="00985303">
        <w:rPr>
          <w:rFonts w:ascii="Arial" w:hAnsi="Arial" w:cs="Arial"/>
          <w:iCs/>
          <w:sz w:val="24"/>
          <w:szCs w:val="24"/>
        </w:rPr>
        <w:t>“</w:t>
      </w:r>
      <w:r w:rsidRPr="00985303">
        <w:rPr>
          <w:rFonts w:ascii="Arial" w:hAnsi="Arial" w:cs="Arial"/>
          <w:i/>
          <w:iCs/>
          <w:sz w:val="24"/>
          <w:szCs w:val="24"/>
        </w:rPr>
        <w:t>atestado de capacidade técnica comprovando a prestação de serviços em estabelecimento de saúde com, no mínimo, 250 leitos</w:t>
      </w:r>
      <w:r w:rsidRPr="00985303">
        <w:rPr>
          <w:rFonts w:ascii="Arial" w:hAnsi="Arial" w:cs="Arial"/>
          <w:iCs/>
          <w:sz w:val="24"/>
          <w:szCs w:val="24"/>
        </w:rPr>
        <w:t>”, o que superaria a número de leitos do HUB. Acrescentou que tal exigência restringe o caráter competitivo do certame,</w:t>
      </w:r>
      <w:r w:rsidRPr="00985303">
        <w:rPr>
          <w:rFonts w:ascii="Arial" w:hAnsi="Arial" w:cs="Arial"/>
          <w:i/>
          <w:iCs/>
          <w:sz w:val="24"/>
          <w:szCs w:val="24"/>
        </w:rPr>
        <w:t xml:space="preserve"> </w:t>
      </w:r>
      <w:r w:rsidRPr="00985303">
        <w:rPr>
          <w:rFonts w:ascii="Arial" w:hAnsi="Arial" w:cs="Arial"/>
          <w:iCs/>
          <w:sz w:val="24"/>
          <w:szCs w:val="24"/>
        </w:rPr>
        <w:t>“</w:t>
      </w:r>
      <w:r w:rsidRPr="00985303">
        <w:rPr>
          <w:rFonts w:ascii="Arial" w:hAnsi="Arial" w:cs="Arial"/>
          <w:i/>
          <w:iCs/>
          <w:sz w:val="24"/>
          <w:szCs w:val="24"/>
        </w:rPr>
        <w:t>já que eventual atestado de capacidade técnica, emitido pelo próprio HUB, para os fins da licitação, não apresentaria conformidade com o edital</w:t>
      </w:r>
      <w:r w:rsidRPr="00985303">
        <w:rPr>
          <w:rFonts w:ascii="Arial" w:hAnsi="Arial" w:cs="Arial"/>
          <w:iCs/>
          <w:sz w:val="24"/>
          <w:szCs w:val="24"/>
        </w:rPr>
        <w:t>”</w:t>
      </w:r>
      <w:r w:rsidRPr="00985303">
        <w:rPr>
          <w:rFonts w:ascii="Arial" w:hAnsi="Arial" w:cs="Arial"/>
          <w:i/>
          <w:iCs/>
          <w:sz w:val="24"/>
          <w:szCs w:val="24"/>
        </w:rPr>
        <w:t>.</w:t>
      </w:r>
      <w:r w:rsidRPr="00985303">
        <w:rPr>
          <w:rFonts w:ascii="Arial" w:hAnsi="Arial" w:cs="Arial"/>
          <w:iCs/>
          <w:sz w:val="24"/>
          <w:szCs w:val="24"/>
        </w:rPr>
        <w:t xml:space="preserve"> O relator endossou exame efetuado pela unidade técnica, no sentido de que: “</w:t>
      </w:r>
      <w:r w:rsidRPr="00985303">
        <w:rPr>
          <w:rFonts w:ascii="Arial" w:hAnsi="Arial" w:cs="Arial"/>
          <w:i/>
          <w:iCs/>
          <w:sz w:val="24"/>
          <w:szCs w:val="24"/>
        </w:rPr>
        <w:t>o Tribunal conta com jurisprudência consolidada no sentido de que a capacidade técnico-operacional das licitantes não deve ser aferida mediante o estabelecimento de percentuais mínimos acima de 50% dos quantitativos dos itens de maior relevância da obra ou serviço licitado, salvo em casos excepcionais, cujas justificativas para tal extrapolação deverão estar tecnicamente explicitadas, ou no processo licitatório, previamente ao lançamento do respectivo edital, ou no próprio edital e seus anexos, em observância ao art. 37, inc. XXI, da Constituição Federal; c/c dispositivos da Lei de Licitações, art. 3º, § 1º, inc. I, e art. 30, inc. II</w:t>
      </w:r>
      <w:r w:rsidRPr="00985303">
        <w:rPr>
          <w:rFonts w:ascii="Arial" w:hAnsi="Arial" w:cs="Arial"/>
          <w:iCs/>
          <w:sz w:val="24"/>
          <w:szCs w:val="24"/>
        </w:rPr>
        <w:t>”</w:t>
      </w:r>
      <w:r w:rsidRPr="00985303">
        <w:rPr>
          <w:rFonts w:ascii="Arial" w:hAnsi="Arial" w:cs="Arial"/>
          <w:i/>
          <w:iCs/>
          <w:sz w:val="24"/>
          <w:szCs w:val="24"/>
        </w:rPr>
        <w:t>.</w:t>
      </w:r>
      <w:r w:rsidRPr="00985303">
        <w:rPr>
          <w:rFonts w:ascii="Arial" w:hAnsi="Arial" w:cs="Arial"/>
          <w:iCs/>
          <w:sz w:val="24"/>
          <w:szCs w:val="24"/>
        </w:rPr>
        <w:t xml:space="preserve"> Ressaltou, também, que os elementos contidos nos autos indicam a exigência de atestados de capacidade técnica “</w:t>
      </w:r>
      <w:r w:rsidRPr="00985303">
        <w:rPr>
          <w:rFonts w:ascii="Arial" w:hAnsi="Arial" w:cs="Arial"/>
          <w:i/>
          <w:iCs/>
          <w:sz w:val="24"/>
          <w:szCs w:val="24"/>
        </w:rPr>
        <w:t>com registro de quantitativos superiores ao que se pretende contratar</w:t>
      </w:r>
      <w:r w:rsidRPr="00985303">
        <w:rPr>
          <w:rFonts w:ascii="Arial" w:hAnsi="Arial" w:cs="Arial"/>
          <w:iCs/>
          <w:sz w:val="24"/>
          <w:szCs w:val="24"/>
        </w:rPr>
        <w:t>”. E também que o caráter restritivo de tal condição é evidenciado “</w:t>
      </w:r>
      <w:r w:rsidRPr="00985303">
        <w:rPr>
          <w:rFonts w:ascii="Arial" w:hAnsi="Arial" w:cs="Arial"/>
          <w:i/>
          <w:iCs/>
          <w:sz w:val="24"/>
          <w:szCs w:val="24"/>
        </w:rPr>
        <w:t>ao se considerar que os serviços de limpeza a serem efetuados nas áreas hospitalares crítica e semicrítica abrangem apenas 28% da área total licitada de 84.991 m2 (23.744 m2/84.991 m2)</w:t>
      </w:r>
      <w:r w:rsidRPr="00985303">
        <w:rPr>
          <w:rFonts w:ascii="Arial" w:hAnsi="Arial" w:cs="Arial"/>
          <w:iCs/>
          <w:sz w:val="24"/>
          <w:szCs w:val="24"/>
        </w:rPr>
        <w:t>”. Os elementos contidos nos autos revelam também que três licitantes, com lances melhor classificados, teriam sido excluídas do certame em decorrência de exigências de habilitação restritivas</w:t>
      </w:r>
      <w:r w:rsidRPr="00985303">
        <w:rPr>
          <w:rFonts w:ascii="Arial" w:hAnsi="Arial" w:cs="Arial"/>
          <w:i/>
          <w:iCs/>
          <w:sz w:val="24"/>
          <w:szCs w:val="24"/>
        </w:rPr>
        <w:t>.</w:t>
      </w:r>
      <w:r w:rsidRPr="00985303">
        <w:rPr>
          <w:rFonts w:ascii="Arial" w:hAnsi="Arial" w:cs="Arial"/>
          <w:iCs/>
          <w:sz w:val="24"/>
          <w:szCs w:val="24"/>
        </w:rPr>
        <w:t xml:space="preserve"> O relator, então, fundamentalmente pelo motivo acima explicitado, ao considerar presentes o </w:t>
      </w:r>
      <w:r w:rsidRPr="00985303">
        <w:rPr>
          <w:rFonts w:ascii="Arial" w:hAnsi="Arial" w:cs="Arial"/>
          <w:b/>
          <w:bCs/>
          <w:sz w:val="24"/>
          <w:szCs w:val="24"/>
        </w:rPr>
        <w:t>fumus boni juris</w:t>
      </w:r>
      <w:r w:rsidRPr="00985303">
        <w:rPr>
          <w:rFonts w:ascii="Arial" w:hAnsi="Arial" w:cs="Arial"/>
          <w:bCs/>
          <w:sz w:val="24"/>
          <w:szCs w:val="24"/>
        </w:rPr>
        <w:t xml:space="preserve"> e</w:t>
      </w:r>
      <w:r w:rsidRPr="00985303">
        <w:rPr>
          <w:rFonts w:ascii="Arial" w:hAnsi="Arial" w:cs="Arial"/>
          <w:iCs/>
          <w:sz w:val="24"/>
          <w:szCs w:val="24"/>
        </w:rPr>
        <w:t xml:space="preserve"> o </w:t>
      </w:r>
      <w:r w:rsidRPr="00985303">
        <w:rPr>
          <w:rFonts w:ascii="Arial" w:hAnsi="Arial" w:cs="Arial"/>
          <w:b/>
          <w:bCs/>
          <w:sz w:val="24"/>
          <w:szCs w:val="24"/>
        </w:rPr>
        <w:t>periculum in mora</w:t>
      </w:r>
      <w:r w:rsidRPr="00985303">
        <w:rPr>
          <w:rFonts w:ascii="Arial" w:hAnsi="Arial" w:cs="Arial"/>
          <w:bCs/>
          <w:sz w:val="24"/>
          <w:szCs w:val="24"/>
        </w:rPr>
        <w:t>,</w:t>
      </w:r>
      <w:r w:rsidRPr="00985303">
        <w:rPr>
          <w:rFonts w:ascii="Arial" w:hAnsi="Arial" w:cs="Arial"/>
          <w:b/>
          <w:bCs/>
          <w:sz w:val="24"/>
          <w:szCs w:val="24"/>
        </w:rPr>
        <w:t xml:space="preserve"> </w:t>
      </w:r>
      <w:r w:rsidRPr="00985303">
        <w:rPr>
          <w:rFonts w:ascii="Arial" w:hAnsi="Arial" w:cs="Arial"/>
          <w:bCs/>
          <w:sz w:val="24"/>
          <w:szCs w:val="24"/>
        </w:rPr>
        <w:t xml:space="preserve">decidiu: a) determinar, em </w:t>
      </w:r>
      <w:r w:rsidRPr="00985303">
        <w:rPr>
          <w:rFonts w:ascii="Arial" w:hAnsi="Arial" w:cs="Arial"/>
          <w:sz w:val="24"/>
          <w:szCs w:val="24"/>
        </w:rPr>
        <w:t xml:space="preserve">caráter cautelar, </w:t>
      </w:r>
      <w:r w:rsidRPr="00985303">
        <w:rPr>
          <w:rFonts w:ascii="Arial" w:hAnsi="Arial" w:cs="Arial"/>
          <w:b/>
          <w:bCs/>
          <w:sz w:val="24"/>
          <w:szCs w:val="24"/>
        </w:rPr>
        <w:t>inaudita altera pars</w:t>
      </w:r>
      <w:r w:rsidRPr="00985303">
        <w:rPr>
          <w:rFonts w:ascii="Arial" w:hAnsi="Arial" w:cs="Arial"/>
          <w:sz w:val="24"/>
          <w:szCs w:val="24"/>
        </w:rPr>
        <w:t xml:space="preserve">, a suspensão do Pregão Eletrônico nº 302/2011 – HUB; b) promover a oitiva do HUB a cerca desse indício de irregularidade. </w:t>
      </w:r>
      <w:r w:rsidRPr="00985303">
        <w:rPr>
          <w:rFonts w:ascii="Arial" w:hAnsi="Arial" w:cs="Arial"/>
          <w:b/>
          <w:i/>
          <w:sz w:val="24"/>
          <w:szCs w:val="24"/>
        </w:rPr>
        <w:t xml:space="preserve">Comunicação de Cautelar, TC </w:t>
      </w:r>
      <w:r w:rsidRPr="00985303">
        <w:rPr>
          <w:rFonts w:ascii="Arial" w:hAnsi="Arial" w:cs="Arial"/>
          <w:b/>
          <w:i/>
          <w:sz w:val="24"/>
          <w:szCs w:val="24"/>
          <w:lang w:eastAsia="pt-BR"/>
        </w:rPr>
        <w:t>003.818/2012-8</w:t>
      </w:r>
      <w:r w:rsidRPr="00985303">
        <w:rPr>
          <w:rFonts w:ascii="Arial" w:hAnsi="Arial" w:cs="Arial"/>
          <w:b/>
          <w:i/>
          <w:sz w:val="24"/>
          <w:szCs w:val="24"/>
        </w:rPr>
        <w:t>, rel. Min. José Jorge, 21.3.2012.</w:t>
      </w:r>
    </w:p>
    <w:p w:rsidR="00985303" w:rsidRPr="00985303" w:rsidRDefault="00985303" w:rsidP="0068243F">
      <w:pPr>
        <w:autoSpaceDE w:val="0"/>
        <w:autoSpaceDN w:val="0"/>
        <w:adjustRightInd w:val="0"/>
        <w:spacing w:after="0" w:line="360" w:lineRule="auto"/>
        <w:jc w:val="both"/>
        <w:rPr>
          <w:rFonts w:ascii="Arial" w:hAnsi="Arial" w:cs="Arial"/>
          <w:b/>
          <w:i/>
          <w:sz w:val="24"/>
          <w:szCs w:val="24"/>
        </w:rPr>
      </w:pPr>
    </w:p>
    <w:p w:rsidR="00985303" w:rsidRPr="00985303" w:rsidRDefault="00985303" w:rsidP="0068243F">
      <w:pPr>
        <w:autoSpaceDE w:val="0"/>
        <w:autoSpaceDN w:val="0"/>
        <w:adjustRightInd w:val="0"/>
        <w:spacing w:after="0" w:line="360" w:lineRule="auto"/>
        <w:jc w:val="both"/>
        <w:rPr>
          <w:rFonts w:ascii="Arial" w:hAnsi="Arial" w:cs="Arial"/>
          <w:b/>
          <w:sz w:val="24"/>
          <w:szCs w:val="24"/>
          <w:lang w:eastAsia="pt-BR"/>
        </w:rPr>
      </w:pPr>
    </w:p>
    <w:p w:rsidR="00985303" w:rsidRDefault="00985303" w:rsidP="0068243F">
      <w:pPr>
        <w:autoSpaceDE w:val="0"/>
        <w:autoSpaceDN w:val="0"/>
        <w:adjustRightInd w:val="0"/>
        <w:spacing w:after="0" w:line="360" w:lineRule="auto"/>
        <w:jc w:val="both"/>
        <w:rPr>
          <w:rFonts w:ascii="Arial" w:hAnsi="Arial" w:cs="Arial"/>
          <w:b/>
          <w:sz w:val="24"/>
          <w:szCs w:val="24"/>
          <w:lang w:eastAsia="pt-BR"/>
        </w:rPr>
      </w:pPr>
      <w:r w:rsidRPr="00985303">
        <w:rPr>
          <w:rFonts w:ascii="Arial" w:hAnsi="Arial" w:cs="Arial"/>
          <w:b/>
          <w:sz w:val="24"/>
          <w:szCs w:val="24"/>
          <w:lang w:eastAsia="pt-BR"/>
        </w:rPr>
        <w:t xml:space="preserve">As orientações constantes da OT IBR 01/2006, que informam os elementos mínimos que devem conter os projetos básicos de obras públicas, editada pelo Instituto Brasileiro de Obras Públicas (Ibraop), devem ser observadas pelos entes da Administração Pública </w:t>
      </w:r>
    </w:p>
    <w:p w:rsidR="00985303" w:rsidRPr="00985303" w:rsidRDefault="00985303" w:rsidP="0068243F">
      <w:pPr>
        <w:autoSpaceDE w:val="0"/>
        <w:autoSpaceDN w:val="0"/>
        <w:adjustRightInd w:val="0"/>
        <w:spacing w:after="0" w:line="360" w:lineRule="auto"/>
        <w:jc w:val="both"/>
        <w:rPr>
          <w:rFonts w:ascii="Arial" w:hAnsi="Arial" w:cs="Arial"/>
          <w:b/>
          <w:sz w:val="24"/>
          <w:szCs w:val="24"/>
          <w:lang w:eastAsia="pt-BR"/>
        </w:rPr>
      </w:pPr>
    </w:p>
    <w:p w:rsidR="00985303" w:rsidRPr="00985303" w:rsidRDefault="00985303" w:rsidP="0068243F">
      <w:pPr>
        <w:autoSpaceDE w:val="0"/>
        <w:autoSpaceDN w:val="0"/>
        <w:adjustRightInd w:val="0"/>
        <w:spacing w:after="0" w:line="360" w:lineRule="auto"/>
        <w:jc w:val="both"/>
        <w:rPr>
          <w:rFonts w:ascii="Arial" w:hAnsi="Arial" w:cs="Arial"/>
          <w:b/>
          <w:i/>
          <w:sz w:val="24"/>
          <w:szCs w:val="24"/>
        </w:rPr>
      </w:pPr>
      <w:r w:rsidRPr="00985303">
        <w:rPr>
          <w:rFonts w:ascii="Arial" w:hAnsi="Arial" w:cs="Arial"/>
          <w:sz w:val="24"/>
          <w:szCs w:val="24"/>
          <w:lang w:eastAsia="pt-BR"/>
        </w:rPr>
        <w:t xml:space="preserve">O Tribunal, em face de recorrentes problemas provocados por projetos deficientes em obras custeadas com recursos públicos, determinou a criação de grupo de trabalho com finalidade de estabelecer referenciais técnicos mais precisos para os elementos mínimos que devem compor tais projetos, tanto em licitações de obras públicas, quanto para concessões de serviços públicos precedidos de obras públicas. Um de seus subgrupos busca estabelecer parâmetros técnicos mínimos para nortear a </w:t>
      </w:r>
      <w:r w:rsidRPr="00985303">
        <w:rPr>
          <w:rFonts w:ascii="Arial" w:hAnsi="Arial" w:cs="Arial"/>
          <w:sz w:val="24"/>
          <w:szCs w:val="24"/>
          <w:u w:val="single"/>
          <w:lang w:eastAsia="pt-BR"/>
        </w:rPr>
        <w:t>elaboração de projetos básicos de obras públicas</w:t>
      </w:r>
      <w:r w:rsidRPr="00985303">
        <w:rPr>
          <w:rFonts w:ascii="Arial" w:hAnsi="Arial" w:cs="Arial"/>
          <w:sz w:val="24"/>
          <w:szCs w:val="24"/>
          <w:lang w:eastAsia="pt-BR"/>
        </w:rPr>
        <w:t xml:space="preserve">.  Essa equipe conta com a colaboração do Ministério Público da União, do Departamento de Polícia Federal, da Controladoria Geral da União, do Instituto Brasileiro de Auditoria de Obras Públicas - Ibraop e do Ministério do Planejamento, Orçamento e Gestão. Os Auditores do Tribunal, no curso dos trabalhos, verificaram que se encontra em andamento projeto da Associação Brasileira de Normas Técnicas – ABNT de edição de norma sobre a elaboração de orçamentos de obras. Observaram, ainda, que o anteprojeto desse normativo, elaborado pelo Instituto de Engenharia de São Paulo, estabelece o conteúdo mínimo que devem possuir os projetos básicos de diferentes tipos de obras. Ressaltaram ainda a relevância dessa iniciativa, visto que </w:t>
      </w:r>
      <w:r w:rsidRPr="00985303">
        <w:rPr>
          <w:rFonts w:ascii="Arial" w:hAnsi="Arial" w:cs="Arial"/>
          <w:iCs/>
          <w:sz w:val="24"/>
          <w:szCs w:val="24"/>
          <w:lang w:eastAsia="pt-BR"/>
        </w:rPr>
        <w:t xml:space="preserve">a Lei Federal nº 4.150/1962 impõe a observância das normas da ABNT pela Administração em seus contratos administrativos de obras e compras. A equipe noticiou também </w:t>
      </w:r>
      <w:r w:rsidRPr="00985303">
        <w:rPr>
          <w:rFonts w:ascii="Arial" w:hAnsi="Arial" w:cs="Arial"/>
          <w:sz w:val="24"/>
          <w:szCs w:val="24"/>
          <w:lang w:eastAsia="pt-BR"/>
        </w:rPr>
        <w:t>a existência de orientação técnica produzida pelo Ibraop (OT IBR 01/2006), que uniformiza o conceito de projeto básico da Lei nº 8.666/1993, elaborado a partir do entendimento dominante de engenheiros e arquitetos de Tribunais de Contas do Brasil. O relator, em face dessas contingências e em linha de consonância com proposição da Secretaria de Obras – 1, entendeu pertinente, até a edição do normativo pela ABNT, que o TCU adote a orientação do Ibraop nas auditorias de obras a seu cargo. O Tribunal, ao ratificar essa conclusão, decidiu: “</w:t>
      </w:r>
      <w:r w:rsidRPr="00985303">
        <w:rPr>
          <w:rFonts w:ascii="Arial" w:hAnsi="Arial" w:cs="Arial"/>
          <w:i/>
          <w:sz w:val="24"/>
          <w:szCs w:val="24"/>
          <w:lang w:eastAsia="pt-BR"/>
        </w:rPr>
        <w:t xml:space="preserve">9.1. determinar à Segecex que dê conhecimento às unidades jurisdicionadas ao Tribunal que as orientações constantes da </w:t>
      </w:r>
      <w:r w:rsidRPr="00985303">
        <w:rPr>
          <w:rFonts w:ascii="Arial" w:hAnsi="Arial" w:cs="Arial"/>
          <w:i/>
          <w:sz w:val="24"/>
          <w:szCs w:val="24"/>
          <w:u w:val="single"/>
          <w:lang w:eastAsia="pt-BR"/>
        </w:rPr>
        <w:t>OT IBR 01/2006, editada pelo Instituto Brasileiro de Obras Públicas (Ibraop)</w:t>
      </w:r>
      <w:r w:rsidRPr="00985303">
        <w:rPr>
          <w:rFonts w:ascii="Arial" w:hAnsi="Arial" w:cs="Arial"/>
          <w:i/>
          <w:sz w:val="24"/>
          <w:szCs w:val="24"/>
          <w:lang w:eastAsia="pt-BR"/>
        </w:rPr>
        <w:t xml:space="preserve">, passarão a ser observadas por esta Corte, quando da fiscalização de obras públicas; 9.1.1. para os órgãos/entidades que dispõem de normativos próprios para regular a elaboração de projetos básicos das obras por eles licitadas e contratadas, os conceitos da referida norma serão aplicados subsidiariamente; 9.1.2. a adoção da OT IBR 01/2006 não dispensa os gestores de providenciar os elementos técnicos adicionais, decorrentes das especificidades de cada obra auditada; 9.2. determinar à Segecex que, nas fiscalizações de futuras licitações de obras públicas, passe a </w:t>
      </w:r>
      <w:r w:rsidRPr="00985303">
        <w:rPr>
          <w:rFonts w:ascii="Arial" w:hAnsi="Arial" w:cs="Arial"/>
          <w:i/>
          <w:sz w:val="24"/>
          <w:szCs w:val="24"/>
          <w:u w:val="single"/>
          <w:lang w:eastAsia="pt-BR"/>
        </w:rPr>
        <w:t>avaliar a compatibilidade, do projeto básico com a OT IBR 01/2006</w:t>
      </w:r>
      <w:r w:rsidRPr="00985303">
        <w:rPr>
          <w:rFonts w:ascii="Arial" w:hAnsi="Arial" w:cs="Arial"/>
          <w:i/>
          <w:sz w:val="24"/>
          <w:szCs w:val="24"/>
          <w:lang w:eastAsia="pt-BR"/>
        </w:rPr>
        <w:t xml:space="preserve"> e, na hipótese de inconformidades relevantes, represente ao relator com proposta de providências</w:t>
      </w:r>
      <w:r w:rsidRPr="00985303">
        <w:rPr>
          <w:rFonts w:ascii="Arial" w:hAnsi="Arial" w:cs="Arial"/>
          <w:sz w:val="24"/>
          <w:szCs w:val="24"/>
          <w:lang w:eastAsia="pt-BR"/>
        </w:rPr>
        <w:t xml:space="preserve">” - grifou-se. </w:t>
      </w:r>
      <w:r w:rsidRPr="00985303">
        <w:rPr>
          <w:rFonts w:ascii="Arial" w:hAnsi="Arial" w:cs="Arial"/>
          <w:b/>
          <w:i/>
          <w:sz w:val="24"/>
          <w:szCs w:val="24"/>
        </w:rPr>
        <w:t xml:space="preserve">Acórdão n.º 632/2012-Plenário, TC </w:t>
      </w:r>
      <w:r w:rsidRPr="00985303">
        <w:rPr>
          <w:rFonts w:ascii="Arial" w:hAnsi="Arial" w:cs="Arial"/>
          <w:b/>
          <w:i/>
          <w:sz w:val="24"/>
          <w:szCs w:val="24"/>
          <w:lang w:eastAsia="pt-BR"/>
        </w:rPr>
        <w:t>002.089/2012-2</w:t>
      </w:r>
      <w:r w:rsidRPr="00985303">
        <w:rPr>
          <w:rFonts w:ascii="Arial" w:hAnsi="Arial" w:cs="Arial"/>
          <w:b/>
          <w:i/>
          <w:sz w:val="24"/>
          <w:szCs w:val="24"/>
        </w:rPr>
        <w:t>, rel. Min. José Jorge, 21.3.2012.</w:t>
      </w:r>
    </w:p>
    <w:p w:rsidR="00985303" w:rsidRDefault="00985303" w:rsidP="0068243F">
      <w:pPr>
        <w:autoSpaceDE w:val="0"/>
        <w:autoSpaceDN w:val="0"/>
        <w:adjustRightInd w:val="0"/>
        <w:spacing w:after="0" w:line="360" w:lineRule="auto"/>
        <w:jc w:val="both"/>
        <w:rPr>
          <w:rFonts w:ascii="Arial" w:hAnsi="Arial" w:cs="Arial"/>
          <w:b/>
          <w:sz w:val="24"/>
          <w:szCs w:val="24"/>
        </w:rPr>
      </w:pPr>
    </w:p>
    <w:p w:rsidR="00985303" w:rsidRPr="00985303" w:rsidRDefault="00985303" w:rsidP="0068243F">
      <w:pPr>
        <w:autoSpaceDE w:val="0"/>
        <w:autoSpaceDN w:val="0"/>
        <w:adjustRightInd w:val="0"/>
        <w:spacing w:after="0" w:line="360" w:lineRule="auto"/>
        <w:jc w:val="both"/>
        <w:rPr>
          <w:rFonts w:ascii="Arial" w:hAnsi="Arial" w:cs="Arial"/>
          <w:b/>
          <w:sz w:val="24"/>
          <w:szCs w:val="24"/>
        </w:rPr>
      </w:pPr>
    </w:p>
    <w:p w:rsidR="00985303" w:rsidRDefault="00985303" w:rsidP="0068243F">
      <w:pPr>
        <w:pStyle w:val="Default"/>
        <w:spacing w:line="360" w:lineRule="auto"/>
        <w:jc w:val="both"/>
        <w:rPr>
          <w:rFonts w:ascii="Arial" w:eastAsia="MS Mincho" w:hAnsi="Arial" w:cs="Arial"/>
          <w:b/>
          <w:color w:val="auto"/>
        </w:rPr>
      </w:pPr>
      <w:r w:rsidRPr="00985303">
        <w:rPr>
          <w:rFonts w:ascii="Arial" w:hAnsi="Arial" w:cs="Arial"/>
          <w:b/>
          <w:iCs/>
          <w:color w:val="auto"/>
        </w:rPr>
        <w:t xml:space="preserve">A condução de certame licitatório com utilização de projeto básico desatualizado afronta o disposto no </w:t>
      </w:r>
      <w:r w:rsidRPr="00985303">
        <w:rPr>
          <w:rFonts w:ascii="Arial" w:eastAsia="MS Mincho" w:hAnsi="Arial" w:cs="Arial"/>
          <w:b/>
          <w:color w:val="auto"/>
        </w:rPr>
        <w:t>inciso IX do art. 6º da Lei nº 8.666/93 e sujeita os agentes responsáveis à multa do art. 58, inciso II, da Lei nº 8.443/1992</w:t>
      </w:r>
    </w:p>
    <w:p w:rsidR="00985303" w:rsidRPr="00985303" w:rsidRDefault="00985303" w:rsidP="0068243F">
      <w:pPr>
        <w:pStyle w:val="Default"/>
        <w:spacing w:line="360" w:lineRule="auto"/>
        <w:jc w:val="both"/>
        <w:rPr>
          <w:rFonts w:ascii="Arial" w:hAnsi="Arial" w:cs="Arial"/>
          <w:b/>
          <w:color w:val="auto"/>
        </w:rPr>
      </w:pPr>
    </w:p>
    <w:p w:rsidR="00985303" w:rsidRPr="00251DE6" w:rsidRDefault="00985303" w:rsidP="0068243F">
      <w:pPr>
        <w:pStyle w:val="Default"/>
        <w:spacing w:line="360" w:lineRule="auto"/>
        <w:jc w:val="both"/>
        <w:rPr>
          <w:rFonts w:ascii="Arial" w:hAnsi="Arial" w:cs="Arial"/>
          <w:b/>
          <w:i/>
          <w:color w:val="auto"/>
        </w:rPr>
      </w:pPr>
      <w:r w:rsidRPr="00985303">
        <w:rPr>
          <w:rFonts w:ascii="Arial" w:hAnsi="Arial" w:cs="Arial"/>
          <w:color w:val="auto"/>
        </w:rPr>
        <w:t xml:space="preserve"> Levantamento de auditoria em obras de duplicação do trecho rodoviário Santa Cruz (km 385,8) - Itacoruçá (km 411,96), na BR-101, no estado do Rio de Janeiro, e de construção do acesso ao Porto de Sepetiba, no km 403,5 da BR-101/RJ, conduzidas pelo DNIT, revelou indícios de irregularidades no procedimento licitatório que antecedeu a celebração do </w:t>
      </w:r>
      <w:r w:rsidRPr="00985303">
        <w:rPr>
          <w:rFonts w:ascii="Arial" w:hAnsi="Arial" w:cs="Arial"/>
          <w:iCs/>
          <w:color w:val="auto"/>
        </w:rPr>
        <w:t>Contrato TT-227/2006-00 e em sua execução</w:t>
      </w:r>
      <w:r w:rsidRPr="00985303">
        <w:rPr>
          <w:rFonts w:ascii="Arial" w:hAnsi="Arial" w:cs="Arial"/>
          <w:i/>
          <w:iCs/>
          <w:color w:val="auto"/>
        </w:rPr>
        <w:t xml:space="preserve">. </w:t>
      </w:r>
      <w:r w:rsidRPr="00985303">
        <w:rPr>
          <w:rFonts w:ascii="Arial" w:hAnsi="Arial" w:cs="Arial"/>
          <w:iCs/>
          <w:color w:val="auto"/>
        </w:rPr>
        <w:t>Destaque-se, entre as ocorrências apuradas, a realização do procedimento licitatório nº 105/2006, “</w:t>
      </w:r>
      <w:r w:rsidRPr="00985303">
        <w:rPr>
          <w:rFonts w:ascii="Arial" w:hAnsi="Arial" w:cs="Arial"/>
          <w:i/>
          <w:iCs/>
          <w:color w:val="auto"/>
        </w:rPr>
        <w:t xml:space="preserve">com projeto básico desatualizado, </w:t>
      </w:r>
      <w:r w:rsidRPr="00985303">
        <w:rPr>
          <w:rFonts w:ascii="Arial" w:eastAsia="MS Mincho" w:hAnsi="Arial" w:cs="Arial"/>
          <w:i/>
          <w:color w:val="auto"/>
        </w:rPr>
        <w:t>em desacordo com o estabelecido no inciso IX do art. 6º da Lei nº 8.666/93, e que se mostrou inadequado às condições locais da obra, culminando em alterações substanciais em serviços necessários à execução da obra</w:t>
      </w:r>
      <w:r w:rsidRPr="00985303">
        <w:rPr>
          <w:rFonts w:ascii="Arial" w:eastAsia="MS Mincho" w:hAnsi="Arial" w:cs="Arial"/>
          <w:color w:val="auto"/>
        </w:rPr>
        <w:t xml:space="preserve">”, imputada a ex-Diretor Geral do Dnit. </w:t>
      </w:r>
      <w:r w:rsidRPr="00985303">
        <w:rPr>
          <w:rFonts w:ascii="Arial" w:hAnsi="Arial" w:cs="Arial"/>
          <w:color w:val="auto"/>
        </w:rPr>
        <w:t xml:space="preserve">Também foram ouvidos em audiência o ex-Coordenador-Geral de Construção Rodoviária, por haver solicitado a elaboração de edital da referida licitação com projetos básicos desatualizados, e o ex-Diretor de Infraestrutura Terrestre por  aprovar a proposta de licitação, a despeito de ter sido elaborada com base em projeto básico deficiente. </w:t>
      </w:r>
      <w:r w:rsidRPr="00985303">
        <w:rPr>
          <w:rFonts w:ascii="Arial" w:eastAsia="MS Mincho" w:hAnsi="Arial" w:cs="Arial"/>
          <w:color w:val="auto"/>
        </w:rPr>
        <w:t xml:space="preserve">Em resposta, o ex-Diretor Geral do Dnit ressaltou a </w:t>
      </w:r>
      <w:r w:rsidRPr="00985303">
        <w:rPr>
          <w:rFonts w:ascii="Arial" w:hAnsi="Arial" w:cs="Arial"/>
          <w:iCs/>
          <w:color w:val="auto"/>
        </w:rPr>
        <w:t>importância da BR-101/RJ para a malha viária do país como eixo de escoamento para a exportação da produção industrial da região sudeste e como via de transporte de passageiros e turismo.  Alegou, em especial, que, ao perceber</w:t>
      </w:r>
      <w:r w:rsidRPr="00985303">
        <w:rPr>
          <w:rFonts w:ascii="Arial" w:hAnsi="Arial" w:cs="Arial"/>
          <w:i/>
          <w:iCs/>
          <w:color w:val="auto"/>
        </w:rPr>
        <w:t xml:space="preserve"> “a significativa demanda de infraestrutura pela qual a região enfrentava e ainda enfrenta, não poderia o Gestor tomar outra decisão senão a que mais atendia ao Interesse Público, qual seja, a implementação imediata das obras de duplicação da rodovia</w:t>
      </w:r>
      <w:r w:rsidRPr="00985303">
        <w:rPr>
          <w:rFonts w:ascii="Arial" w:hAnsi="Arial" w:cs="Arial"/>
          <w:iCs/>
          <w:color w:val="auto"/>
        </w:rPr>
        <w:t>”. O relator, entretanto, ao endossar as conclusões de Secretaria de Obras do Tribunal, ponderou que “</w:t>
      </w:r>
      <w:r w:rsidRPr="00985303">
        <w:rPr>
          <w:rFonts w:ascii="Arial" w:hAnsi="Arial" w:cs="Arial"/>
          <w:i/>
          <w:color w:val="auto"/>
        </w:rPr>
        <w:t>o ex-Diretor-</w:t>
      </w:r>
      <w:r w:rsidRPr="00251DE6">
        <w:rPr>
          <w:rFonts w:ascii="Arial" w:hAnsi="Arial" w:cs="Arial"/>
          <w:i/>
          <w:color w:val="auto"/>
        </w:rPr>
        <w:t>Geral preferiu assumir os riscos de prosseguir na licitação, mesmo sabendo que os projetos disponíveis, elaborados em licitações anteriores, já revogadas, teriam que sofrer atualizações, não apenas em função do tempo decorrido desde sua elaboração, mas também em razão da integração da obra de duplicação com os demais projetos de grande porte a serem desenvolvidos na mesma região</w:t>
      </w:r>
      <w:r w:rsidRPr="00251DE6">
        <w:rPr>
          <w:rFonts w:ascii="Arial" w:hAnsi="Arial" w:cs="Arial"/>
          <w:color w:val="auto"/>
        </w:rPr>
        <w:t xml:space="preserve">”. Também em relação aos outros dois agentes acima mencionados, considerou insatisfatórias as justificativas apresentadas. O Tribunal, então, ao acolher proposta do relator e após levar em conta outras irregularidades cometidas por esses agentes, decidiu: a) rejeitar as respectivas razões de justificativas; b) aplicar a cada um deles multa do art. 58, inciso II, da lei nº 8.443/1992, em valores distintos. </w:t>
      </w:r>
      <w:r w:rsidRPr="00251DE6">
        <w:rPr>
          <w:rFonts w:ascii="Arial" w:hAnsi="Arial" w:cs="Arial"/>
          <w:b/>
          <w:i/>
          <w:color w:val="auto"/>
        </w:rPr>
        <w:t>Acórdão n.º 645/2012-Plenário, TC 007.286/2008-3, rel. Min. José Múcio Monteiro, 21.3.2012.</w:t>
      </w:r>
    </w:p>
    <w:p w:rsidR="00985303" w:rsidRPr="00251DE6" w:rsidRDefault="00985303" w:rsidP="0068243F">
      <w:pPr>
        <w:spacing w:before="120" w:after="240" w:line="360" w:lineRule="auto"/>
        <w:jc w:val="both"/>
        <w:rPr>
          <w:rFonts w:ascii="Arial" w:hAnsi="Arial" w:cs="Arial"/>
          <w:color w:val="FF0000"/>
          <w:sz w:val="24"/>
          <w:szCs w:val="24"/>
        </w:rPr>
      </w:pPr>
    </w:p>
    <w:p w:rsidR="004F0752" w:rsidRPr="00251DE6" w:rsidRDefault="004F0752" w:rsidP="0068243F">
      <w:pPr>
        <w:spacing w:before="120" w:after="240" w:line="360" w:lineRule="auto"/>
        <w:jc w:val="both"/>
        <w:rPr>
          <w:rFonts w:ascii="Arial" w:hAnsi="Arial" w:cs="Arial"/>
          <w:color w:val="FF0000"/>
          <w:sz w:val="24"/>
          <w:szCs w:val="24"/>
        </w:rPr>
      </w:pPr>
    </w:p>
    <w:p w:rsidR="004F0752" w:rsidRPr="00251DE6" w:rsidRDefault="004F0752" w:rsidP="0068243F">
      <w:pPr>
        <w:spacing w:before="120" w:after="240" w:line="360" w:lineRule="auto"/>
        <w:jc w:val="center"/>
        <w:rPr>
          <w:rFonts w:ascii="Arial" w:hAnsi="Arial" w:cs="Arial"/>
          <w:color w:val="FF0000"/>
          <w:sz w:val="24"/>
          <w:szCs w:val="24"/>
        </w:rPr>
      </w:pPr>
      <w:r w:rsidRPr="00251DE6">
        <w:rPr>
          <w:rFonts w:ascii="Arial" w:hAnsi="Arial" w:cs="Arial"/>
          <w:color w:val="FF0000"/>
          <w:sz w:val="24"/>
          <w:szCs w:val="24"/>
        </w:rPr>
        <w:t>99</w:t>
      </w:r>
    </w:p>
    <w:p w:rsidR="004F0752" w:rsidRPr="00251DE6" w:rsidRDefault="004F0752" w:rsidP="0068243F">
      <w:pPr>
        <w:spacing w:before="120" w:after="240" w:line="360" w:lineRule="auto"/>
        <w:rPr>
          <w:rFonts w:ascii="Arial" w:hAnsi="Arial" w:cs="Arial"/>
          <w:color w:val="FF0000"/>
          <w:sz w:val="24"/>
          <w:szCs w:val="24"/>
        </w:rPr>
      </w:pPr>
    </w:p>
    <w:p w:rsidR="004F0752" w:rsidRPr="00251DE6" w:rsidRDefault="004F0752" w:rsidP="0068243F">
      <w:pPr>
        <w:pStyle w:val="C"/>
        <w:tabs>
          <w:tab w:val="clear" w:pos="1418"/>
          <w:tab w:val="left" w:pos="1134"/>
        </w:tabs>
        <w:spacing w:line="360" w:lineRule="auto"/>
        <w:rPr>
          <w:rFonts w:ascii="Arial" w:hAnsi="Arial" w:cs="Arial"/>
          <w:b/>
          <w:szCs w:val="24"/>
        </w:rPr>
      </w:pPr>
      <w:r w:rsidRPr="00251DE6">
        <w:rPr>
          <w:rFonts w:ascii="Arial" w:hAnsi="Arial" w:cs="Arial"/>
          <w:b/>
          <w:szCs w:val="24"/>
        </w:rPr>
        <w:t xml:space="preserve">A opção por pregão presencial, em vez de pregão eletrônico, sem justificativa consistente, associada a estipulação de local de apresentação de propostas distinto daquele em que serão prestados os serviços configura, em avaliação preliminar, irregularidade e justifica a suspensão cautelar certame  </w:t>
      </w:r>
    </w:p>
    <w:p w:rsidR="004F0752" w:rsidRPr="00251DE6" w:rsidRDefault="004F0752" w:rsidP="0068243F">
      <w:pPr>
        <w:pStyle w:val="C"/>
        <w:tabs>
          <w:tab w:val="clear" w:pos="1418"/>
          <w:tab w:val="left" w:pos="1134"/>
        </w:tabs>
        <w:spacing w:line="360" w:lineRule="auto"/>
        <w:rPr>
          <w:rFonts w:ascii="Arial" w:hAnsi="Arial" w:cs="Arial"/>
          <w:b/>
          <w:szCs w:val="24"/>
        </w:rPr>
      </w:pPr>
    </w:p>
    <w:p w:rsidR="004F0752" w:rsidRPr="00251DE6" w:rsidRDefault="004F0752" w:rsidP="0068243F">
      <w:pPr>
        <w:pStyle w:val="C"/>
        <w:tabs>
          <w:tab w:val="clear" w:pos="1418"/>
          <w:tab w:val="left" w:pos="1134"/>
        </w:tabs>
        <w:spacing w:line="360" w:lineRule="auto"/>
        <w:rPr>
          <w:rFonts w:ascii="Arial" w:hAnsi="Arial" w:cs="Arial"/>
          <w:b/>
          <w:i/>
          <w:szCs w:val="24"/>
        </w:rPr>
      </w:pPr>
      <w:r w:rsidRPr="00251DE6">
        <w:rPr>
          <w:rFonts w:ascii="Arial" w:hAnsi="Arial" w:cs="Arial"/>
          <w:szCs w:val="24"/>
        </w:rPr>
        <w:t>Representação apontou supostas irregularidades na condução, pela Companhia Brasileira de Trens Urbanos, do Pregão Presencial 004/2012/CBTU, que visa à contratação de serviço de vigilância ostensiva e armada para 71 postos de 24h ininterruptas, nas áreas da CBTU/Recife. As possíveis ilicitudes são as seguintes: a) escolha não motivada da modalidade pregão presencial, em vez de pregão eletrônico; b) obrigatoriedade de as propostas serem apresentadas na cidade do Rio de Janeiro/RJ, embora o serviço deva ser prestado em Recife/PE. Foram credenciadas cinco empresas e a vencedora do certame ofertou proposta no valor de R$ 9.949.900,00. O Presidente do TCU, atuando nos autos em função de férias do relator, observou que teria sido violado o disposto no art. 4º, § 1º, do Decreto 5.450/2005, visto não se ter comprovado a inviabilidade de adoção do pregão eletrônico e que a CBTU teria agido sem respaldo técnico ou legal. Acrescentou que o fato de “</w:t>
      </w:r>
      <w:r w:rsidRPr="00251DE6">
        <w:rPr>
          <w:rFonts w:ascii="Arial" w:hAnsi="Arial" w:cs="Arial"/>
          <w:i/>
          <w:szCs w:val="24"/>
        </w:rPr>
        <w:t>o local de entrega e abertura das propostas ser distante do local da prestação dos serviços licitados implica a restrição da competitividade do certame</w:t>
      </w:r>
      <w:r w:rsidRPr="00251DE6">
        <w:rPr>
          <w:rFonts w:ascii="Arial" w:hAnsi="Arial" w:cs="Arial"/>
          <w:szCs w:val="24"/>
        </w:rPr>
        <w:t xml:space="preserve">” e aparente violação ao comando contido no art. 20, </w:t>
      </w:r>
      <w:r w:rsidRPr="00251DE6">
        <w:rPr>
          <w:rFonts w:ascii="Arial" w:hAnsi="Arial" w:cs="Arial"/>
          <w:i/>
          <w:szCs w:val="24"/>
        </w:rPr>
        <w:t>caput</w:t>
      </w:r>
      <w:r w:rsidRPr="00251DE6">
        <w:rPr>
          <w:rFonts w:ascii="Arial" w:hAnsi="Arial" w:cs="Arial"/>
          <w:szCs w:val="24"/>
        </w:rPr>
        <w:t xml:space="preserve">, da Lei 8.666/1993. Por considerar presentes o </w:t>
      </w:r>
      <w:r w:rsidRPr="00251DE6">
        <w:rPr>
          <w:rFonts w:ascii="Arial" w:hAnsi="Arial" w:cs="Arial"/>
          <w:b/>
          <w:szCs w:val="24"/>
        </w:rPr>
        <w:t>fumus boni iuris</w:t>
      </w:r>
      <w:r w:rsidRPr="00251DE6">
        <w:rPr>
          <w:rFonts w:ascii="Arial" w:hAnsi="Arial" w:cs="Arial"/>
          <w:szCs w:val="24"/>
        </w:rPr>
        <w:t xml:space="preserve"> e o </w:t>
      </w:r>
      <w:r w:rsidRPr="00251DE6">
        <w:rPr>
          <w:rFonts w:ascii="Arial" w:hAnsi="Arial" w:cs="Arial"/>
          <w:b/>
          <w:szCs w:val="24"/>
        </w:rPr>
        <w:t>periculum in mora</w:t>
      </w:r>
      <w:r w:rsidRPr="00251DE6">
        <w:rPr>
          <w:rFonts w:ascii="Arial" w:hAnsi="Arial" w:cs="Arial"/>
          <w:szCs w:val="24"/>
        </w:rPr>
        <w:t xml:space="preserve">, determinou: a) em caráter cautelar, a suspensão do certame até que o Tribunal delibere sobre o mérito da representação; b) a realização de oitiva da CBTU sobre a não adoção de pregão eletrônico e a escolha de local de apresentação das propostas distante do local de prestação dos serviços. </w:t>
      </w:r>
      <w:r w:rsidRPr="00251DE6">
        <w:rPr>
          <w:rFonts w:ascii="Arial" w:hAnsi="Arial" w:cs="Arial"/>
          <w:b/>
          <w:i/>
          <w:szCs w:val="24"/>
        </w:rPr>
        <w:t>Comunicação de Cautelar, TC</w:t>
      </w:r>
      <w:r w:rsidRPr="00251DE6">
        <w:rPr>
          <w:rFonts w:ascii="Arial" w:hAnsi="Arial" w:cs="Arial"/>
          <w:b/>
          <w:i/>
          <w:szCs w:val="24"/>
        </w:rPr>
        <w:noBreakHyphen/>
        <w:t>007.473/2012-5, Ministro-Presidente Benjamin Zymler, 28.3.2012.</w:t>
      </w:r>
    </w:p>
    <w:p w:rsidR="004F0752" w:rsidRPr="00251DE6" w:rsidRDefault="004F0752" w:rsidP="0068243F">
      <w:pPr>
        <w:pStyle w:val="C"/>
        <w:tabs>
          <w:tab w:val="clear" w:pos="1418"/>
          <w:tab w:val="left" w:pos="1134"/>
        </w:tabs>
        <w:spacing w:line="360" w:lineRule="auto"/>
        <w:rPr>
          <w:rFonts w:ascii="Arial" w:hAnsi="Arial" w:cs="Arial"/>
          <w:b/>
          <w:i/>
          <w:szCs w:val="24"/>
        </w:rPr>
      </w:pPr>
    </w:p>
    <w:p w:rsidR="004F0752" w:rsidRPr="00251DE6" w:rsidRDefault="004F0752" w:rsidP="0068243F">
      <w:pPr>
        <w:pStyle w:val="C"/>
        <w:tabs>
          <w:tab w:val="clear" w:pos="1418"/>
          <w:tab w:val="left" w:pos="1134"/>
        </w:tabs>
        <w:spacing w:line="360" w:lineRule="auto"/>
        <w:rPr>
          <w:rFonts w:ascii="Arial" w:hAnsi="Arial" w:cs="Arial"/>
          <w:b/>
          <w:i/>
          <w:szCs w:val="24"/>
        </w:rPr>
      </w:pPr>
    </w:p>
    <w:p w:rsidR="004F0752" w:rsidRPr="00251DE6" w:rsidRDefault="004F0752" w:rsidP="0068243F">
      <w:pPr>
        <w:pStyle w:val="C"/>
        <w:tabs>
          <w:tab w:val="clear" w:pos="1418"/>
          <w:tab w:val="left" w:pos="1134"/>
        </w:tabs>
        <w:spacing w:line="360" w:lineRule="auto"/>
        <w:rPr>
          <w:rFonts w:ascii="Arial" w:hAnsi="Arial" w:cs="Arial"/>
          <w:b/>
          <w:i/>
          <w:szCs w:val="24"/>
        </w:rPr>
      </w:pPr>
    </w:p>
    <w:p w:rsidR="004F0752" w:rsidRPr="00251DE6" w:rsidRDefault="004F0752" w:rsidP="0068243F">
      <w:pPr>
        <w:pStyle w:val="Default"/>
        <w:spacing w:line="360" w:lineRule="auto"/>
        <w:jc w:val="both"/>
        <w:rPr>
          <w:rFonts w:ascii="Arial" w:hAnsi="Arial" w:cs="Arial"/>
          <w:b/>
        </w:rPr>
      </w:pPr>
      <w:r w:rsidRPr="00251DE6">
        <w:rPr>
          <w:rFonts w:ascii="Arial" w:hAnsi="Arial" w:cs="Arial"/>
          <w:b/>
        </w:rPr>
        <w:t>A elaboração de orçamento de obra exige não só a utilização de preços de insumos extraídos de sistemas referenciais, mas também a adaptação de composições de custos unitários às condições de projeto</w:t>
      </w:r>
    </w:p>
    <w:p w:rsidR="004F0752" w:rsidRPr="00251DE6" w:rsidRDefault="004F0752" w:rsidP="0068243F">
      <w:pPr>
        <w:pStyle w:val="Default"/>
        <w:spacing w:line="360" w:lineRule="auto"/>
        <w:jc w:val="both"/>
        <w:rPr>
          <w:rFonts w:ascii="Arial" w:hAnsi="Arial" w:cs="Arial"/>
          <w:b/>
        </w:rPr>
      </w:pPr>
    </w:p>
    <w:p w:rsidR="004F0752" w:rsidRPr="00251DE6" w:rsidRDefault="004F0752" w:rsidP="0068243F">
      <w:pPr>
        <w:pStyle w:val="Default"/>
        <w:spacing w:line="360" w:lineRule="auto"/>
        <w:jc w:val="both"/>
        <w:rPr>
          <w:rFonts w:ascii="Arial" w:hAnsi="Arial" w:cs="Arial"/>
          <w:b/>
          <w:i/>
        </w:rPr>
      </w:pPr>
      <w:r w:rsidRPr="00251DE6">
        <w:rPr>
          <w:rFonts w:ascii="Arial" w:hAnsi="Arial" w:cs="Arial"/>
        </w:rPr>
        <w:t>Auditoria realizada no Ministério da Integração Nacional (MI) identificou indícios de irregularidades no Edital de Concorrência nº 12011/2011-MI, que tem por objeto a execução de obras civis, instalação, montagem, testes e comissionamento dos equipamentos mecânicos e elétricos do Lote 5, eixo Norte, do Projeto de Integração do Rio São Francisco (PISF) com as bacias hidrográficas do Nordeste Setentrional. Entre as ocorrências relacionadas pela unidade técnica especializada, destaca-se o sobrepreço de R$ 29.082.754,56 (data-base jan/2011) no orçamento-base da licitação, que representa 5,53% do preço total da amostra examinada e 4,20% em relação ao valor total do orçamento (R$ 720.880.136,05), o que afrontaria o disposto no art. 125 da Lei 12.465/2011 (LDO/2012). A principal parcela do sobrepreço concentra-se em cinco serviços relacionados com terraplenagem. Verificou-se, quanto a esses serviços, que, a despeito de os preços orçados terem sido, em regra, calculados com a utilização de custos de insumos e serviços constantes do Sistema de Custos Rodoviários (Sicro) e do Sistema Nacional de Pesquisa de Custos e Índices da Construção Civil (Sinapi), não foram realizadas adaptações em diversas composições de custos unitários, a fim de conformá-las às efetivas condições de projeto. A título de exemplo, no caso do serviço “filtros e transposições finas horizontais de areia natural”, utilizou-se o insumo "</w:t>
      </w:r>
      <w:r w:rsidRPr="00251DE6">
        <w:rPr>
          <w:rFonts w:ascii="Arial" w:hAnsi="Arial" w:cs="Arial"/>
          <w:i/>
        </w:rPr>
        <w:t>areia comercial lavada</w:t>
      </w:r>
      <w:r w:rsidRPr="00251DE6">
        <w:rPr>
          <w:rFonts w:ascii="Arial" w:hAnsi="Arial" w:cs="Arial"/>
        </w:rPr>
        <w:t>", em vês de "</w:t>
      </w:r>
      <w:r w:rsidRPr="00251DE6">
        <w:rPr>
          <w:rFonts w:ascii="Arial" w:hAnsi="Arial" w:cs="Arial"/>
          <w:i/>
        </w:rPr>
        <w:t>areia extraída de jazida</w:t>
      </w:r>
      <w:r w:rsidRPr="00251DE6">
        <w:rPr>
          <w:rFonts w:ascii="Arial" w:hAnsi="Arial" w:cs="Arial"/>
        </w:rPr>
        <w:t xml:space="preserve">", esta última prevista no estudo de terraplenagem para as obras do lote 5. O relator, em seu Voto, endossou a análise da Secob-4 a respeito de tais sobrepreços. O Tribunal, então, ao acolher proposta do relator, decidiu determinar ao MI que informe ao TCU, em 15 dias, as medidas a serem adotadas com o intuito de adequar os preços do orçamento-base da licitação aos de mercado, tomando como limites máximos preços de vários serviços, que foram explicitados no subitem 9.1.1 do Acórdão. </w:t>
      </w:r>
      <w:r w:rsidRPr="00251DE6">
        <w:rPr>
          <w:rFonts w:ascii="Arial" w:hAnsi="Arial" w:cs="Arial"/>
          <w:b/>
          <w:i/>
        </w:rPr>
        <w:t>Acórdão n.º 723/2012-Plenário, TC 037.773/2011-9, rel. Min. Raimundo Carreiro, 28.3.2012.</w:t>
      </w:r>
    </w:p>
    <w:p w:rsidR="004F0752" w:rsidRPr="00251DE6" w:rsidRDefault="004F0752" w:rsidP="0068243F">
      <w:pPr>
        <w:pStyle w:val="Default"/>
        <w:spacing w:line="360" w:lineRule="auto"/>
        <w:jc w:val="both"/>
        <w:rPr>
          <w:rFonts w:ascii="Arial" w:hAnsi="Arial" w:cs="Arial"/>
          <w:b/>
          <w:i/>
        </w:rPr>
      </w:pPr>
    </w:p>
    <w:p w:rsidR="004F0752" w:rsidRPr="00251DE6" w:rsidRDefault="004F0752" w:rsidP="0068243F">
      <w:pPr>
        <w:pStyle w:val="Default"/>
        <w:spacing w:line="360" w:lineRule="auto"/>
        <w:jc w:val="both"/>
        <w:rPr>
          <w:rFonts w:ascii="Arial" w:hAnsi="Arial" w:cs="Arial"/>
          <w:b/>
          <w:i/>
        </w:rPr>
      </w:pPr>
    </w:p>
    <w:p w:rsidR="004F0752" w:rsidRPr="00251DE6" w:rsidRDefault="004F0752" w:rsidP="0068243F">
      <w:pPr>
        <w:pStyle w:val="Default"/>
        <w:spacing w:line="360" w:lineRule="auto"/>
        <w:jc w:val="both"/>
        <w:rPr>
          <w:rFonts w:ascii="Arial" w:hAnsi="Arial" w:cs="Arial"/>
          <w:b/>
          <w:i/>
        </w:rPr>
      </w:pPr>
    </w:p>
    <w:p w:rsidR="004F0752" w:rsidRPr="00251DE6" w:rsidRDefault="004F0752" w:rsidP="0068243F">
      <w:pPr>
        <w:pStyle w:val="Default"/>
        <w:spacing w:line="360" w:lineRule="auto"/>
        <w:jc w:val="both"/>
        <w:rPr>
          <w:rFonts w:ascii="Arial" w:hAnsi="Arial" w:cs="Arial"/>
          <w:b/>
        </w:rPr>
      </w:pPr>
      <w:r w:rsidRPr="00251DE6">
        <w:rPr>
          <w:rFonts w:ascii="Arial" w:hAnsi="Arial" w:cs="Arial"/>
          <w:b/>
        </w:rPr>
        <w:t xml:space="preserve">O regime de empreitada integral, previsto no art. 6º, inciso VIII, alínea “e”, da Lei nº 8.666/1993 deve ser considerado na condução de projetos de vulto e complexos  </w:t>
      </w:r>
    </w:p>
    <w:p w:rsidR="004F0752" w:rsidRPr="00251DE6" w:rsidRDefault="004F0752" w:rsidP="0068243F">
      <w:pPr>
        <w:pStyle w:val="Default"/>
        <w:spacing w:line="360" w:lineRule="auto"/>
        <w:jc w:val="both"/>
        <w:rPr>
          <w:rFonts w:ascii="Arial" w:hAnsi="Arial" w:cs="Arial"/>
          <w:b/>
        </w:rPr>
      </w:pPr>
    </w:p>
    <w:p w:rsidR="004F0752" w:rsidRPr="00251DE6" w:rsidRDefault="004F0752" w:rsidP="0068243F">
      <w:pPr>
        <w:pStyle w:val="Default"/>
        <w:spacing w:line="360" w:lineRule="auto"/>
        <w:jc w:val="both"/>
        <w:rPr>
          <w:rFonts w:ascii="Arial" w:hAnsi="Arial" w:cs="Arial"/>
          <w:b/>
          <w:i/>
        </w:rPr>
      </w:pPr>
      <w:r w:rsidRPr="00251DE6">
        <w:rPr>
          <w:rFonts w:ascii="Arial" w:hAnsi="Arial" w:cs="Arial"/>
        </w:rPr>
        <w:t>Ainda no âmbito da auditoria nas obras do Projeto de Integração do Rio São Francisco com as bacias hidrográficas do Nordeste Setentrional, o relator teceu considerações sobre o empreendimento como um todo. Observou que o projeto está subdividido em dois eixos principais: o Norte, que levará água para os sertões de Pernambuco, Ceará, Paraíba e Rio Grande do Norte, e o Leste, que beneficiará parte do Sertão e do Agreste de Pernambuco e da Paraíba. Anotou que o valor nominal já contratado para essas obras é da ordem de R$ 5,2 bilhões e que “</w:t>
      </w:r>
      <w:r w:rsidRPr="00251DE6">
        <w:rPr>
          <w:rFonts w:ascii="Arial" w:hAnsi="Arial" w:cs="Arial"/>
          <w:i/>
        </w:rPr>
        <w:t>o Tribunal tem se defrontado, ao longo das diversas auditorias (...) com problemas (...) relacionados ao processo de contratação do empreendimento, especificamente, com a baixa qualidade dos projetos licitados e com a deficiente orçamentação, materializada, sobretudo, por falhas na definição dos quantitativos necessários para a conclusão das obras e dos preços unitários e globais dos serviços</w:t>
      </w:r>
      <w:r w:rsidRPr="00251DE6">
        <w:rPr>
          <w:rFonts w:ascii="Arial" w:hAnsi="Arial" w:cs="Arial"/>
        </w:rPr>
        <w:t>”. Lembrou da recente revogação pelo MI da Concorrência nº 1/2010 (Execução de obras civis, fornecimento, instalação, montagem e testes dos equipamentos mecânicos e elétricos dos lotes 5, 8, 15, 16, 17 e 18),  após atuação do TCU (Acórdão nº 1.667/2011 – Plenário), envolvendo recursos da ordem de R$ 1.679.261.731,42. Acrescentou que o próprio MI aventa a hipótese de promover a rescisão de contratos dos lotes 3, 4 e 7 do Eixo Norte e de “</w:t>
      </w:r>
      <w:r w:rsidRPr="00251DE6">
        <w:rPr>
          <w:rFonts w:ascii="Arial" w:hAnsi="Arial" w:cs="Arial"/>
          <w:i/>
        </w:rPr>
        <w:t>licitar as parcelas remanescentes dos aludidos lotes e daqueles que já atingiram o limite máximo legal de 25% de incremento de preço, tendo em vista acréscimos de serviços</w:t>
      </w:r>
      <w:r w:rsidRPr="00251DE6">
        <w:rPr>
          <w:rFonts w:ascii="Arial" w:hAnsi="Arial" w:cs="Arial"/>
        </w:rPr>
        <w:t>”. Registrou que o citado órgão reconhece substancial elevação do valor total dos investimentos previstos, que já alcança os R$ 8,2 bilhões. Com base nesse contexto, arrematou: “</w:t>
      </w:r>
      <w:r w:rsidRPr="00251DE6">
        <w:rPr>
          <w:rFonts w:ascii="Arial" w:hAnsi="Arial" w:cs="Arial"/>
          <w:i/>
        </w:rPr>
        <w:t xml:space="preserve">entendo pertinente a utilização do regime de contratação designado como empreitada integral ou </w:t>
      </w:r>
      <w:r w:rsidRPr="00251DE6">
        <w:rPr>
          <w:rFonts w:ascii="Arial" w:hAnsi="Arial" w:cs="Arial"/>
          <w:b/>
          <w:i/>
        </w:rPr>
        <w:t>turn key</w:t>
      </w:r>
      <w:r w:rsidRPr="00251DE6">
        <w:rPr>
          <w:rFonts w:ascii="Arial" w:hAnsi="Arial" w:cs="Arial"/>
          <w:i/>
        </w:rPr>
        <w:t>, previsto no art. 6º, inciso VIII, alínea “e”, da Lei nº 8.666/1993, para as licitações que serão promovidas pelo Ministério da Integração Nacional, no âmbito do presente empreendimento, a fim de se evitar as recorrentes falhas verificadas no decorrer do acompanhamento do PISF por esta Corte</w:t>
      </w:r>
      <w:r w:rsidRPr="00251DE6">
        <w:rPr>
          <w:rFonts w:ascii="Arial" w:hAnsi="Arial" w:cs="Arial"/>
        </w:rPr>
        <w:t>”. Acrescentou que o vulto do empreendimento e o alcance social e econômico vislumbrados reforçam a pertinência de adoção desse regime de contratação e que há precedentes, no âmbito do TCU, que respaldam essa solução. O Tribunal, então, ao acolher proposta do relator, decidiu: “</w:t>
      </w:r>
      <w:r w:rsidRPr="00251DE6">
        <w:rPr>
          <w:rFonts w:ascii="Arial" w:hAnsi="Arial" w:cs="Arial"/>
          <w:i/>
        </w:rPr>
        <w:t>9.2. determinar ao Ministério da Integração Nacional, com espeque no art. 250, inciso II, do Regimento Interno do TCU, que, preliminarmente à continuidade das licitações referentes aos lotes 15, 16, 17 e 18 (Ramal do Agreste), aos serviços remanescentes dos lotes 3, 4 e 7 (Eixo Norte) e aos lotes que atingiram o limite legal de 25%: 9.2.1 efetue avaliação econômica das alternativas de forma de ajuste, considerando, inclusive, regime de empreitada integral, nos termos do art. 6º, inciso VIII, alínea “e”, da Lei nº 8.666/1993, justificando a escolha daquela que se revelar mais conveniente para o caso</w:t>
      </w:r>
      <w:r w:rsidRPr="00251DE6">
        <w:rPr>
          <w:rFonts w:ascii="Arial" w:hAnsi="Arial" w:cs="Arial"/>
        </w:rPr>
        <w:t>”. Precedentes mencionados:</w:t>
      </w:r>
      <w:r w:rsidRPr="00251DE6">
        <w:rPr>
          <w:rFonts w:ascii="Arial" w:eastAsia="Times New Roman" w:hAnsi="Arial" w:cs="Arial"/>
        </w:rPr>
        <w:t xml:space="preserve"> </w:t>
      </w:r>
      <w:r w:rsidRPr="00251DE6">
        <w:rPr>
          <w:rFonts w:ascii="Arial" w:hAnsi="Arial" w:cs="Arial"/>
        </w:rPr>
        <w:t xml:space="preserve">Acórdãos nº 1.566/2005 – Plenário e nº 3.977/2009 – 2ª Câmara. </w:t>
      </w:r>
      <w:r w:rsidRPr="00251DE6">
        <w:rPr>
          <w:rFonts w:ascii="Arial" w:hAnsi="Arial" w:cs="Arial"/>
          <w:b/>
          <w:i/>
        </w:rPr>
        <w:t>Acórdão n.º 723/2012-Plenário, TC 037.773/2011-9, rel. Min. Raimundo Carreiro, 28.3.2012.</w:t>
      </w:r>
    </w:p>
    <w:p w:rsidR="004F0752" w:rsidRPr="00251DE6" w:rsidRDefault="004F0752" w:rsidP="0068243F">
      <w:pPr>
        <w:pStyle w:val="Default"/>
        <w:spacing w:line="360" w:lineRule="auto"/>
        <w:jc w:val="both"/>
        <w:rPr>
          <w:rFonts w:ascii="Arial" w:hAnsi="Arial" w:cs="Arial"/>
        </w:rPr>
      </w:pPr>
    </w:p>
    <w:p w:rsidR="004F0752" w:rsidRPr="00251DE6" w:rsidRDefault="004F0752" w:rsidP="0068243F">
      <w:pPr>
        <w:pStyle w:val="Default"/>
        <w:spacing w:line="360" w:lineRule="auto"/>
        <w:jc w:val="both"/>
        <w:rPr>
          <w:rFonts w:ascii="Arial" w:hAnsi="Arial" w:cs="Arial"/>
        </w:rPr>
      </w:pPr>
    </w:p>
    <w:p w:rsidR="004F0752" w:rsidRPr="00251DE6" w:rsidRDefault="004F0752" w:rsidP="0068243F">
      <w:pPr>
        <w:pStyle w:val="Default"/>
        <w:spacing w:line="360" w:lineRule="auto"/>
        <w:jc w:val="both"/>
        <w:rPr>
          <w:rFonts w:ascii="Arial" w:hAnsi="Arial" w:cs="Arial"/>
        </w:rPr>
      </w:pPr>
    </w:p>
    <w:p w:rsidR="004F0752" w:rsidRPr="00251DE6" w:rsidRDefault="004F0752" w:rsidP="0068243F">
      <w:pPr>
        <w:pStyle w:val="Default"/>
        <w:spacing w:line="360" w:lineRule="auto"/>
        <w:jc w:val="both"/>
        <w:rPr>
          <w:rFonts w:ascii="Arial" w:hAnsi="Arial" w:cs="Arial"/>
        </w:rPr>
      </w:pPr>
      <w:r w:rsidRPr="00251DE6">
        <w:rPr>
          <w:rFonts w:ascii="Arial" w:hAnsi="Arial" w:cs="Arial"/>
          <w:b/>
        </w:rPr>
        <w:t>A exigência de comprovação, para fim de qualificação técnica, de tempo de experiência dos profissionais a serem disponibilizados pela licitante afronta o disposto no art. 30, § 5º, da Lei nº 8.666/93</w:t>
      </w:r>
      <w:r w:rsidRPr="00251DE6">
        <w:rPr>
          <w:rFonts w:ascii="Arial" w:hAnsi="Arial" w:cs="Arial"/>
        </w:rPr>
        <w:t>.</w:t>
      </w:r>
    </w:p>
    <w:p w:rsidR="004F0752" w:rsidRPr="00251DE6" w:rsidRDefault="004F0752" w:rsidP="0068243F">
      <w:pPr>
        <w:pStyle w:val="Default"/>
        <w:spacing w:line="360" w:lineRule="auto"/>
        <w:jc w:val="both"/>
        <w:rPr>
          <w:rFonts w:ascii="Arial" w:hAnsi="Arial" w:cs="Arial"/>
        </w:rPr>
      </w:pPr>
    </w:p>
    <w:p w:rsidR="004F0752" w:rsidRPr="00251DE6" w:rsidRDefault="004F0752" w:rsidP="0068243F">
      <w:pPr>
        <w:pStyle w:val="Default"/>
        <w:spacing w:line="360" w:lineRule="auto"/>
        <w:jc w:val="both"/>
        <w:rPr>
          <w:rFonts w:ascii="Arial" w:hAnsi="Arial" w:cs="Arial"/>
          <w:b/>
          <w:i/>
        </w:rPr>
      </w:pPr>
      <w:r w:rsidRPr="00251DE6">
        <w:rPr>
          <w:rFonts w:ascii="Arial" w:hAnsi="Arial" w:cs="Arial"/>
        </w:rPr>
        <w:t>Representação, com pedido de medida cautelar, elencou possíveis irregularidades na Concorrência 2/2012 realizada pelo Serviço Brasileiro de Apoio às Micro e Pequenas Empresas - Sebrae/DN, do tipo técnica e preço, cujo objeto é a contratação de empresa para prestação de serviços de assessoria de imprensa e comunicação, sob demanda. Em face dos indícios de irregularidades, o relator determinou sua suspensão cautelar, o que mereceu endosso do Plenário. Após considerar justificativas do Sebrae/DN, entendeu indevida a exigência contida no item 7.1.3 do edital, letra “a”, de apresentação de atestados de “</w:t>
      </w:r>
      <w:r w:rsidRPr="00251DE6">
        <w:rPr>
          <w:rFonts w:ascii="Arial" w:hAnsi="Arial" w:cs="Arial"/>
          <w:i/>
        </w:rPr>
        <w:t xml:space="preserve">capacidade técnica fornecido(s) por pessoa(s) de direito publico ou privado, emitido pela empresa tomadora dos serviços que comprove(m) ter o licitante prestado serviços técnicos especializados em assessoria de comunicação e imprensa, com disponibilização de no mínimo vinte jornalistas com no mínimo cinco anos de experiência, dois repórter fotográficos com no mínimo cinco anos de experiência e um </w:t>
      </w:r>
      <w:r w:rsidRPr="00251DE6">
        <w:rPr>
          <w:rFonts w:ascii="Arial" w:hAnsi="Arial" w:cs="Arial"/>
          <w:i/>
          <w:iCs/>
        </w:rPr>
        <w:t xml:space="preserve">webdesigner </w:t>
      </w:r>
      <w:r w:rsidRPr="00251DE6">
        <w:rPr>
          <w:rFonts w:ascii="Arial" w:hAnsi="Arial" w:cs="Arial"/>
          <w:i/>
        </w:rPr>
        <w:t>com no minimo cinco anos de experiência</w:t>
      </w:r>
      <w:r w:rsidRPr="00251DE6">
        <w:rPr>
          <w:rFonts w:ascii="Arial" w:hAnsi="Arial" w:cs="Arial"/>
        </w:rPr>
        <w:t>”. Reiterou entendimento da unidade técnica no sentido de não ser adequado exigir tempo de experiência dos profissionais que prestarão os serviços, “</w:t>
      </w:r>
      <w:r w:rsidRPr="00251DE6">
        <w:rPr>
          <w:rFonts w:ascii="Arial" w:hAnsi="Arial" w:cs="Arial"/>
          <w:i/>
        </w:rPr>
        <w:t>uma vez que a empresa deve demonstrar aptidão técnica para executar o contrato, sem que isso esteja necessariamente ligado, por ocasião da licitação, à experiência do quadro de pessoal utilizado em avenças anteriores</w:t>
      </w:r>
      <w:r w:rsidRPr="00251DE6">
        <w:rPr>
          <w:rFonts w:ascii="Arial" w:hAnsi="Arial" w:cs="Arial"/>
        </w:rPr>
        <w:t>”. Lembrou a possibilidade de o recrutamento de parte dos profissionais se dar apenas no caso de adjudicação do objeto da licitação. No dizer do relator, “</w:t>
      </w:r>
      <w:r w:rsidRPr="00251DE6">
        <w:rPr>
          <w:rFonts w:ascii="Arial" w:hAnsi="Arial" w:cs="Arial"/>
          <w:i/>
        </w:rPr>
        <w:t>Isso é condizente com a dinâmica do mercado de comunicação</w:t>
      </w:r>
      <w:r w:rsidRPr="00251DE6">
        <w:rPr>
          <w:rFonts w:ascii="Arial" w:hAnsi="Arial" w:cs="Arial"/>
        </w:rPr>
        <w:t>” e amplia a competitividade de certames do gênero. Reproduziu, em seguida, trecho do Acórdão nº. 600/2011 – Plenário: “</w:t>
      </w:r>
      <w:r w:rsidRPr="00251DE6">
        <w:rPr>
          <w:rFonts w:ascii="Arial" w:hAnsi="Arial" w:cs="Arial"/>
          <w:i/>
        </w:rPr>
        <w:t>A exigência de comprovação, para fim de qualificação técnica, de tempo de experiência dos profissionais a serem disponibilizados pela licitante para a execução do objeto afronta o disposto no art. 30, § 5º, da Lei nº 8.666/93</w:t>
      </w:r>
      <w:r w:rsidRPr="00251DE6">
        <w:rPr>
          <w:rFonts w:ascii="Arial" w:hAnsi="Arial" w:cs="Arial"/>
        </w:rPr>
        <w:t>”. O Tribunal, por esses motivos, ao acolher proposta do relator, decidiu: “</w:t>
      </w:r>
      <w:r w:rsidRPr="00251DE6">
        <w:rPr>
          <w:rFonts w:ascii="Arial" w:hAnsi="Arial" w:cs="Arial"/>
          <w:i/>
        </w:rPr>
        <w:t>9.3 determinar ao Sebrae/DN que, em caso de seguimento da Concorrência 2/2012, altere a alínea “a” do item 7.1.3 do respectivo edital, de modo a excluir as exigências relativas ao número de anos de experiência dos profissionais que comporão a equipe responsável pelos serviços, estabelecendo requisitos para cada categoria profissional, como condição apenas de contratação, e comunique ao TCU do que vier a ser decidido em 15 (quinze) dias</w:t>
      </w:r>
      <w:r w:rsidRPr="00251DE6">
        <w:rPr>
          <w:rFonts w:ascii="Arial" w:hAnsi="Arial" w:cs="Arial"/>
        </w:rPr>
        <w:t xml:space="preserve">”. Precedentes mencionados: Acórdãos 600/2011 e 473/2004, ambos do Plenário. </w:t>
      </w:r>
      <w:r w:rsidRPr="00251DE6">
        <w:rPr>
          <w:rFonts w:ascii="Arial" w:hAnsi="Arial" w:cs="Arial"/>
          <w:b/>
          <w:i/>
        </w:rPr>
        <w:t>Acórdão n.º 727/2012-Plenário, TC 004.909/2012-7, rel. Min. José Múcio Monteiro, 28.3.2012.</w:t>
      </w:r>
    </w:p>
    <w:p w:rsidR="004F0752" w:rsidRPr="00251DE6" w:rsidRDefault="004F0752" w:rsidP="0068243F">
      <w:pPr>
        <w:pStyle w:val="Default"/>
        <w:spacing w:line="360" w:lineRule="auto"/>
        <w:jc w:val="both"/>
        <w:rPr>
          <w:rFonts w:ascii="Arial" w:hAnsi="Arial" w:cs="Arial"/>
          <w:b/>
          <w:i/>
        </w:rPr>
      </w:pPr>
    </w:p>
    <w:p w:rsidR="004F0752" w:rsidRPr="00251DE6" w:rsidRDefault="004F0752" w:rsidP="0068243F">
      <w:pPr>
        <w:pStyle w:val="C"/>
        <w:tabs>
          <w:tab w:val="clear" w:pos="1418"/>
          <w:tab w:val="left" w:pos="1134"/>
        </w:tabs>
        <w:spacing w:line="360" w:lineRule="auto"/>
        <w:rPr>
          <w:rFonts w:ascii="Arial" w:hAnsi="Arial" w:cs="Arial"/>
          <w:b/>
          <w:i/>
          <w:szCs w:val="24"/>
        </w:rPr>
      </w:pPr>
    </w:p>
    <w:p w:rsidR="00B62FD9" w:rsidRPr="00251DE6" w:rsidRDefault="00B62FD9" w:rsidP="0068243F">
      <w:pPr>
        <w:spacing w:before="120" w:after="240" w:line="360" w:lineRule="auto"/>
        <w:jc w:val="center"/>
        <w:rPr>
          <w:rFonts w:ascii="Arial" w:hAnsi="Arial" w:cs="Arial"/>
          <w:color w:val="FF0000"/>
          <w:sz w:val="24"/>
          <w:szCs w:val="24"/>
        </w:rPr>
      </w:pPr>
    </w:p>
    <w:p w:rsidR="00B62FD9" w:rsidRPr="00251DE6" w:rsidRDefault="00B62FD9" w:rsidP="0068243F">
      <w:pPr>
        <w:spacing w:before="120" w:after="240" w:line="360" w:lineRule="auto"/>
        <w:jc w:val="center"/>
        <w:rPr>
          <w:rFonts w:ascii="Arial" w:hAnsi="Arial" w:cs="Arial"/>
          <w:color w:val="FF0000"/>
          <w:sz w:val="24"/>
          <w:szCs w:val="24"/>
        </w:rPr>
      </w:pPr>
    </w:p>
    <w:p w:rsidR="00B62FD9" w:rsidRPr="00251DE6" w:rsidRDefault="00B62FD9" w:rsidP="0068243F">
      <w:pPr>
        <w:spacing w:before="120" w:after="240" w:line="360" w:lineRule="auto"/>
        <w:jc w:val="center"/>
        <w:rPr>
          <w:rFonts w:ascii="Arial" w:hAnsi="Arial" w:cs="Arial"/>
          <w:color w:val="FF0000"/>
          <w:sz w:val="24"/>
          <w:szCs w:val="24"/>
        </w:rPr>
      </w:pPr>
      <w:r w:rsidRPr="00251DE6">
        <w:rPr>
          <w:rFonts w:ascii="Arial" w:hAnsi="Arial" w:cs="Arial"/>
          <w:color w:val="FF0000"/>
          <w:sz w:val="24"/>
          <w:szCs w:val="24"/>
        </w:rPr>
        <w:t>100.</w:t>
      </w:r>
    </w:p>
    <w:p w:rsidR="00B62FD9" w:rsidRPr="00251DE6" w:rsidRDefault="00B62FD9" w:rsidP="0068243F">
      <w:pPr>
        <w:spacing w:before="120" w:after="240" w:line="360" w:lineRule="auto"/>
        <w:rPr>
          <w:rFonts w:ascii="Arial" w:hAnsi="Arial" w:cs="Arial"/>
          <w:color w:val="FF0000"/>
          <w:sz w:val="24"/>
          <w:szCs w:val="24"/>
        </w:rPr>
      </w:pPr>
    </w:p>
    <w:p w:rsidR="00B62FD9" w:rsidRPr="00251DE6" w:rsidRDefault="00B62FD9" w:rsidP="0068243F">
      <w:pPr>
        <w:pStyle w:val="Default"/>
        <w:spacing w:line="360" w:lineRule="auto"/>
        <w:jc w:val="both"/>
        <w:rPr>
          <w:rFonts w:ascii="Arial" w:hAnsi="Arial" w:cs="Arial"/>
          <w:b/>
        </w:rPr>
      </w:pPr>
      <w:r w:rsidRPr="00251DE6">
        <w:rPr>
          <w:rFonts w:ascii="Arial" w:hAnsi="Arial" w:cs="Arial"/>
          <w:b/>
        </w:rPr>
        <w:t xml:space="preserve">A contratação de obra por preço superior ao que se poderia obter por meio da utilização de técnica igualmente satisfatória e menos onerosa demanda a readequação dos preços contratuais a essa nova solução </w:t>
      </w:r>
    </w:p>
    <w:p w:rsidR="00B62FD9" w:rsidRPr="00251DE6" w:rsidRDefault="00B62FD9" w:rsidP="0068243F">
      <w:pPr>
        <w:pStyle w:val="Default"/>
        <w:spacing w:line="360" w:lineRule="auto"/>
        <w:jc w:val="both"/>
        <w:rPr>
          <w:rFonts w:ascii="Arial" w:hAnsi="Arial" w:cs="Arial"/>
          <w:b/>
        </w:rPr>
      </w:pPr>
    </w:p>
    <w:p w:rsidR="00B62FD9" w:rsidRPr="00251DE6" w:rsidRDefault="00B62FD9" w:rsidP="0068243F">
      <w:pPr>
        <w:pStyle w:val="Default"/>
        <w:spacing w:line="360" w:lineRule="auto"/>
        <w:jc w:val="both"/>
        <w:rPr>
          <w:rFonts w:ascii="Arial" w:hAnsi="Arial" w:cs="Arial"/>
          <w:b/>
          <w:i/>
        </w:rPr>
      </w:pPr>
      <w:r w:rsidRPr="00251DE6">
        <w:rPr>
          <w:rFonts w:ascii="Arial" w:hAnsi="Arial" w:cs="Arial"/>
        </w:rPr>
        <w:t xml:space="preserve">Auditoria na Petrobrás, com o intuito verificar a regularidade das obras de implantação da Refinaria Premium I, no Estado do Maranhão, apontou a ocorrência de irregularidades na condução do Contrato 0859.0059374.10.2, que tem por objeto a terraplenagem, drenagem e realização de obras de acesso a refinaria, firmado com o Consórcio Galvão-Serveng-Fidens, no valor de R$ 711.070.084,88. Foram apontados, pela equipe de auditoria, indícios de sobrepreço no montante de R$ 63.956.229,30, decorrentes de: a) previsão do uso de cal hidratada (aglomerante que pode aumentar a estabilidade de solos) para confecção de aterros, quando se revelou tecnicamente equivalente solução que dispensa o emprego desse insumo (R$ 31.920.840,00); b) vantagem indevida auferida pelo consórcio, em relação à segunda licitante melhor classificada, após a supressão da cal hidratada (R$ 24.535.728,30); e c) excesso em quantitativos de outros serviços (R$ 7.499.661,00). A equipe demonstrou que </w:t>
      </w:r>
      <w:r w:rsidRPr="00251DE6">
        <w:rPr>
          <w:rFonts w:ascii="Arial" w:hAnsi="Arial" w:cs="Arial"/>
          <w:iCs/>
        </w:rPr>
        <w:t>a realização dos aterros sem utilização de cal hidratada atenderia</w:t>
      </w:r>
      <w:r w:rsidRPr="00251DE6">
        <w:rPr>
          <w:rFonts w:ascii="Arial" w:hAnsi="Arial" w:cs="Arial"/>
          <w:i/>
          <w:iCs/>
        </w:rPr>
        <w:t xml:space="preserve"> </w:t>
      </w:r>
      <w:r w:rsidRPr="00251DE6">
        <w:rPr>
          <w:rFonts w:ascii="Arial" w:hAnsi="Arial" w:cs="Arial"/>
          <w:iCs/>
        </w:rPr>
        <w:t>“</w:t>
      </w:r>
      <w:r w:rsidRPr="00251DE6">
        <w:rPr>
          <w:rFonts w:ascii="Arial" w:hAnsi="Arial" w:cs="Arial"/>
          <w:i/>
          <w:iCs/>
        </w:rPr>
        <w:t>satisfatoriamente às condições de projeto</w:t>
      </w:r>
      <w:r w:rsidRPr="00251DE6">
        <w:rPr>
          <w:rFonts w:ascii="Arial" w:hAnsi="Arial" w:cs="Arial"/>
          <w:iCs/>
        </w:rPr>
        <w:t xml:space="preserve">”.  Observou, também, que a retirada desse insumo das composições de preços unitários de serviços da obra das propostas das empresas que haviam participado do certame conduziria a alteração da ordem de classificação dessas licitantes, caso tal supressão houvesse sido promovida no curso do certame. Isso porque a vencedora da licitação havia cotado o insumo cal hidratada por valor bastante inferior ao apresentado pela segunda colocada. Por esse motivo, ponderou a Secob-4 que seria necessário não só recalcular o valor do contrato celebrado considerando retirada daquele insumos das composições de serviços da obra, mas também reduzir o valor total do contrato ao da proposta da segunda colocada, calculado com a supressão da cal hidratada. A Petrobrás, ao ser chamada a se pronunciar, considerou pertinentes as conclusões preliminares contidas no Relatório de Auditoria e, com a anuência do consórcio contratado, celebrou os termos aditivos 1 e 2, por meio dos quais se operou a redução do valor contratado em </w:t>
      </w:r>
      <w:r w:rsidRPr="00251DE6">
        <w:rPr>
          <w:rFonts w:ascii="Arial" w:hAnsi="Arial" w:cs="Arial"/>
        </w:rPr>
        <w:t>R$ 63.956.229,30. O Tribunal, então, ao acolher proposta de encaminhamento apresentada pelo relator do processo, decidiu: “</w:t>
      </w:r>
      <w:r w:rsidRPr="00251DE6">
        <w:rPr>
          <w:rFonts w:ascii="Arial" w:hAnsi="Arial" w:cs="Arial"/>
          <w:i/>
        </w:rPr>
        <w:t>considerar saneadas as irregularidades que acresciam indevidamente ao Contrato 0859.0059374.10.2 o valor de R$ 63.956.229,30, relacionadas à desnecessidade do insumo cal hidratada (R$ 31.920.840,00), à vantagem indevida auferida pelo consórcio, em comparação com a segunda licitante melhor classificada, após a supressão da cal hidratada (R$ 24.535.728,30) e à imprecisão do quantitativo do item de Escavação, Carga e Transporte - ECT de material de 1ª categoria, Distância Média de Transporte - DMT de 2 a 5km, com presença de água (R$ 7.499.661,00)</w:t>
      </w:r>
      <w:r w:rsidRPr="00251DE6">
        <w:rPr>
          <w:rFonts w:ascii="Arial" w:hAnsi="Arial" w:cs="Arial"/>
        </w:rPr>
        <w:t xml:space="preserve">”. </w:t>
      </w:r>
      <w:r w:rsidRPr="00251DE6">
        <w:rPr>
          <w:rFonts w:ascii="Arial" w:hAnsi="Arial" w:cs="Arial"/>
          <w:b/>
          <w:i/>
        </w:rPr>
        <w:t>Acórdão n.º 791/2012-Plenário, TC 007.321/2011-2, rel. Min. José Múcio Monteiro, 4.4.2012.</w:t>
      </w:r>
    </w:p>
    <w:p w:rsidR="00FD3A73" w:rsidRPr="00251DE6" w:rsidRDefault="00FD3A73" w:rsidP="0068243F">
      <w:pPr>
        <w:spacing w:before="120" w:after="240" w:line="360" w:lineRule="auto"/>
        <w:rPr>
          <w:rFonts w:ascii="Arial" w:hAnsi="Arial" w:cs="Arial"/>
          <w:color w:val="FF0000"/>
          <w:sz w:val="24"/>
          <w:szCs w:val="24"/>
        </w:rPr>
      </w:pPr>
    </w:p>
    <w:p w:rsidR="00FD3A73" w:rsidRPr="00251DE6" w:rsidRDefault="00FD3A73" w:rsidP="0068243F">
      <w:pPr>
        <w:tabs>
          <w:tab w:val="left" w:pos="3097"/>
        </w:tabs>
        <w:spacing w:line="360" w:lineRule="auto"/>
        <w:jc w:val="center"/>
        <w:rPr>
          <w:rFonts w:ascii="Arial" w:hAnsi="Arial" w:cs="Arial"/>
          <w:color w:val="FF0000"/>
          <w:sz w:val="24"/>
          <w:szCs w:val="24"/>
        </w:rPr>
      </w:pPr>
    </w:p>
    <w:p w:rsidR="00B62FD9" w:rsidRPr="00251DE6" w:rsidRDefault="00FD3A73" w:rsidP="0068243F">
      <w:pPr>
        <w:tabs>
          <w:tab w:val="left" w:pos="3097"/>
        </w:tabs>
        <w:spacing w:line="360" w:lineRule="auto"/>
        <w:jc w:val="center"/>
        <w:rPr>
          <w:rFonts w:ascii="Arial" w:hAnsi="Arial" w:cs="Arial"/>
          <w:color w:val="FF0000"/>
          <w:sz w:val="24"/>
          <w:szCs w:val="24"/>
        </w:rPr>
      </w:pPr>
      <w:r w:rsidRPr="00251DE6">
        <w:rPr>
          <w:rFonts w:ascii="Arial" w:hAnsi="Arial" w:cs="Arial"/>
          <w:color w:val="FF0000"/>
          <w:sz w:val="24"/>
          <w:szCs w:val="24"/>
        </w:rPr>
        <w:t>101.</w:t>
      </w:r>
    </w:p>
    <w:p w:rsidR="00FD3A73" w:rsidRPr="00251DE6" w:rsidRDefault="00FD3A73" w:rsidP="0068243F">
      <w:pPr>
        <w:tabs>
          <w:tab w:val="left" w:pos="3097"/>
        </w:tabs>
        <w:spacing w:line="360" w:lineRule="auto"/>
        <w:rPr>
          <w:rFonts w:ascii="Arial" w:hAnsi="Arial" w:cs="Arial"/>
          <w:color w:val="FF0000"/>
          <w:sz w:val="24"/>
          <w:szCs w:val="24"/>
        </w:rPr>
      </w:pPr>
    </w:p>
    <w:p w:rsidR="00FD3A73" w:rsidRPr="00251DE6" w:rsidRDefault="00FD3A73" w:rsidP="0068243F">
      <w:pPr>
        <w:pBdr>
          <w:top w:val="threeDEmboss" w:sz="24" w:space="0" w:color="auto"/>
        </w:pBdr>
        <w:tabs>
          <w:tab w:val="left" w:pos="284"/>
          <w:tab w:val="left" w:pos="2590"/>
        </w:tabs>
        <w:spacing w:after="0" w:line="360" w:lineRule="auto"/>
        <w:jc w:val="both"/>
        <w:rPr>
          <w:rFonts w:ascii="Arial" w:hAnsi="Arial" w:cs="Arial"/>
          <w:b/>
          <w:iCs/>
          <w:sz w:val="24"/>
          <w:szCs w:val="24"/>
        </w:rPr>
      </w:pPr>
      <w:r w:rsidRPr="00251DE6">
        <w:rPr>
          <w:rFonts w:ascii="Arial" w:hAnsi="Arial" w:cs="Arial"/>
          <w:b/>
          <w:iCs/>
          <w:sz w:val="24"/>
          <w:szCs w:val="24"/>
        </w:rPr>
        <w:t>O estabelecimento de especificações técnicas idênticas às ofertadas por determinado fabricante, da que resultou a exclusão de todas as outras marcas do bem pretendido, sem justificativa consistente, configura afronta ao disposto no art. 15, § 7°, inciso I, da Lei nº 8.666/1993</w:t>
      </w:r>
    </w:p>
    <w:p w:rsidR="00FD3A73" w:rsidRPr="00251DE6" w:rsidRDefault="00FD3A73" w:rsidP="0068243F">
      <w:pPr>
        <w:pBdr>
          <w:top w:val="threeDEmboss" w:sz="24" w:space="0" w:color="auto"/>
        </w:pBdr>
        <w:tabs>
          <w:tab w:val="left" w:pos="284"/>
          <w:tab w:val="left" w:pos="2590"/>
        </w:tabs>
        <w:spacing w:after="0" w:line="360" w:lineRule="auto"/>
        <w:jc w:val="both"/>
        <w:rPr>
          <w:rFonts w:ascii="Arial" w:hAnsi="Arial" w:cs="Arial"/>
          <w:b/>
          <w:iCs/>
          <w:sz w:val="24"/>
          <w:szCs w:val="24"/>
        </w:rPr>
      </w:pPr>
    </w:p>
    <w:p w:rsidR="00FD3A73" w:rsidRPr="00251DE6" w:rsidRDefault="00FD3A73" w:rsidP="0068243F">
      <w:pPr>
        <w:pStyle w:val="Default"/>
        <w:spacing w:line="360" w:lineRule="auto"/>
        <w:jc w:val="both"/>
        <w:rPr>
          <w:rFonts w:ascii="Arial" w:hAnsi="Arial" w:cs="Arial"/>
          <w:b/>
          <w:i/>
        </w:rPr>
      </w:pPr>
      <w:r w:rsidRPr="00251DE6">
        <w:rPr>
          <w:rFonts w:ascii="Arial" w:hAnsi="Arial" w:cs="Arial"/>
        </w:rPr>
        <w:t>Representação acusou possíveis irregularidades no Pregão Presencial nº 28/2009, realizado pela Prefeitura de Coronel Sapucaia/MS, que teve por objeto a aquisição de uma patrulha mecanizada com recursos provenientes de contrato de repasse firmado com a Caixa Econômica Federal - CEF. Apontou-se, em especial, restrição ao caráter competitivo do certame, com violação ao art. 7º, § 5º, da Lei nº 8.666/1993, visto que as características e especificações do citado objeto impuseram a aquisição de trator da marca Valtra. Foram ouvidos em audiência o Prefeito e a pregoeira do certame. O auditor, ao examinar as razões de justificativas dos responsáveis, sugeriu fossem elas acatadas, em especial por terem as especificações do objeto sido endossadas pela CEF. O Diretor, com a anuência do titular da unidade técnica, porém, ao divergir desse entendimento, ressaltou que “</w:t>
      </w:r>
      <w:r w:rsidRPr="00251DE6">
        <w:rPr>
          <w:rFonts w:ascii="Arial" w:hAnsi="Arial" w:cs="Arial"/>
          <w:i/>
          <w:iCs/>
        </w:rPr>
        <w:t>as quinze especificações técnicas exigidas para o bem objeto do certame eram idênticas àquelas do bem ofertado pela empresa vencedora</w:t>
      </w:r>
      <w:r w:rsidRPr="00251DE6">
        <w:rPr>
          <w:rFonts w:ascii="Arial" w:hAnsi="Arial" w:cs="Arial"/>
          <w:iCs/>
        </w:rPr>
        <w:t xml:space="preserve"> ...”. Tal detalhamento, sem justificativas técnicas para a exclusão de tratores de outros fabricantes, equivaleu, em concreto, à indicação de marca, o que afrontou o disposto no art. 15, § 7°, inciso I, da Lei nº 8.666/1993. O relator também entendeu que “</w:t>
      </w:r>
      <w:r w:rsidRPr="00251DE6">
        <w:rPr>
          <w:rFonts w:ascii="Arial" w:hAnsi="Arial" w:cs="Arial"/>
          <w:i/>
        </w:rPr>
        <w:t>a especificação do produto equivaleu à indicação de marca e não utilizou os termos referidos na jurisprudência do Tribunal (“ou similar”, “ou equivalente”, “ou de melhor qualidade”), de maneira a propiciar a participação de outras empresas na licitação</w:t>
      </w:r>
      <w:r w:rsidRPr="00251DE6">
        <w:rPr>
          <w:rFonts w:ascii="Arial" w:hAnsi="Arial" w:cs="Arial"/>
        </w:rPr>
        <w:t>”. Observou, também, que o plano de trabalho aprovado pela CEF fora</w:t>
      </w:r>
      <w:r w:rsidRPr="00251DE6">
        <w:rPr>
          <w:rFonts w:ascii="Arial" w:hAnsi="Arial" w:cs="Arial"/>
          <w:i/>
        </w:rPr>
        <w:t xml:space="preserve"> </w:t>
      </w:r>
      <w:r w:rsidRPr="00251DE6">
        <w:rPr>
          <w:rFonts w:ascii="Arial" w:hAnsi="Arial" w:cs="Arial"/>
        </w:rPr>
        <w:t>“</w:t>
      </w:r>
      <w:r w:rsidRPr="00251DE6">
        <w:rPr>
          <w:rFonts w:ascii="Arial" w:hAnsi="Arial" w:cs="Arial"/>
          <w:i/>
        </w:rPr>
        <w:t>preenchido e assinado pelo próprio prefeito</w:t>
      </w:r>
      <w:r w:rsidRPr="00251DE6">
        <w:rPr>
          <w:rFonts w:ascii="Arial" w:hAnsi="Arial" w:cs="Arial"/>
        </w:rPr>
        <w:t>”. Em face desses elementos de convicção, o Tribunal, ao acolher proposta do relator, decidiu: a) aplicar a cada um dos citados responsáveis multa do art. 58, inciso II da Lei nº 8.443/1992; b) instar a Prefeitura daquele município a, em futuras licitações para aquisições de bens, abster-se de formular especificações “</w:t>
      </w:r>
      <w:r w:rsidRPr="00251DE6">
        <w:rPr>
          <w:rFonts w:ascii="Arial" w:hAnsi="Arial" w:cs="Arial"/>
          <w:i/>
        </w:rPr>
        <w:t>que demonstrem preferência por marca, a não ser quando devidamente justificado por critérios técnicos ou expressamente indicativa da qualidade do material a ser adquirido, hipótese em que a descrição do item deverá ser acrescida de expressões como ‘ou similar’, ‘ou equivalente’, ‘ou de melhor qualidade’, devendo, nesse caso, o produto ser aceito de fato e sem restrições pela Administração, de modo a se coadunar com o disposto nos arts. 3°, § 1°, inciso I, e 15, § 7°, inciso I, da Lei nº 8.666/1993</w:t>
      </w:r>
      <w:r w:rsidRPr="00251DE6">
        <w:rPr>
          <w:rFonts w:ascii="Arial" w:hAnsi="Arial" w:cs="Arial"/>
        </w:rPr>
        <w:t xml:space="preserve">”. </w:t>
      </w:r>
      <w:r w:rsidRPr="00251DE6">
        <w:rPr>
          <w:rFonts w:ascii="Arial" w:hAnsi="Arial" w:cs="Arial"/>
          <w:b/>
          <w:i/>
        </w:rPr>
        <w:t>Acórdão n.º 1.861/2012-Primeira Câmara, TC 029.022/2009-0, rel. Min. José Múcio Monteiro, 10.4.2012.</w:t>
      </w:r>
    </w:p>
    <w:p w:rsidR="00FD3A73" w:rsidRPr="00251DE6" w:rsidRDefault="00FD3A73" w:rsidP="0068243F">
      <w:pPr>
        <w:tabs>
          <w:tab w:val="left" w:pos="3097"/>
        </w:tabs>
        <w:spacing w:line="360" w:lineRule="auto"/>
        <w:rPr>
          <w:rFonts w:ascii="Arial" w:hAnsi="Arial" w:cs="Arial"/>
          <w:color w:val="FF0000"/>
          <w:sz w:val="24"/>
          <w:szCs w:val="24"/>
        </w:rPr>
      </w:pPr>
    </w:p>
    <w:p w:rsidR="00FD3A73" w:rsidRPr="00251DE6" w:rsidRDefault="00FD3A73" w:rsidP="0068243F">
      <w:pPr>
        <w:tabs>
          <w:tab w:val="left" w:pos="3097"/>
        </w:tabs>
        <w:spacing w:line="360" w:lineRule="auto"/>
        <w:rPr>
          <w:rFonts w:ascii="Arial" w:hAnsi="Arial" w:cs="Arial"/>
          <w:color w:val="FF0000"/>
          <w:sz w:val="24"/>
          <w:szCs w:val="24"/>
        </w:rPr>
      </w:pPr>
    </w:p>
    <w:p w:rsidR="00FD3A73" w:rsidRPr="00251DE6" w:rsidRDefault="00FD3A73" w:rsidP="0068243F">
      <w:pPr>
        <w:pStyle w:val="TCU-Epgrafe"/>
        <w:tabs>
          <w:tab w:val="left" w:pos="1134"/>
        </w:tabs>
        <w:spacing w:line="360" w:lineRule="auto"/>
        <w:ind w:left="0"/>
        <w:rPr>
          <w:rFonts w:ascii="Arial" w:hAnsi="Arial" w:cs="Arial"/>
          <w:b/>
          <w:szCs w:val="24"/>
        </w:rPr>
      </w:pPr>
      <w:r w:rsidRPr="00251DE6">
        <w:rPr>
          <w:rFonts w:ascii="Arial" w:hAnsi="Arial" w:cs="Arial"/>
          <w:b/>
          <w:iCs/>
          <w:szCs w:val="24"/>
        </w:rPr>
        <w:t xml:space="preserve">A exigência de que empresa licitante apresente declaração lavrada por fabricante atestando que está por ele credenciada para fornecimento do produto pretendido extrapola os limites para habilitação contidos nos </w:t>
      </w:r>
      <w:r w:rsidRPr="00251DE6">
        <w:rPr>
          <w:rFonts w:ascii="Arial" w:hAnsi="Arial" w:cs="Arial"/>
          <w:b/>
          <w:szCs w:val="24"/>
        </w:rPr>
        <w:t>arts. 27 a 31 da Lei 8.666/1993</w:t>
      </w:r>
    </w:p>
    <w:p w:rsidR="00FD3A73" w:rsidRPr="00251DE6" w:rsidRDefault="00FD3A73" w:rsidP="0068243F">
      <w:pPr>
        <w:pStyle w:val="TCU-Epgrafe"/>
        <w:tabs>
          <w:tab w:val="left" w:pos="1134"/>
        </w:tabs>
        <w:spacing w:line="360" w:lineRule="auto"/>
        <w:ind w:left="0"/>
        <w:rPr>
          <w:rFonts w:ascii="Arial" w:hAnsi="Arial" w:cs="Arial"/>
          <w:b/>
          <w:szCs w:val="24"/>
        </w:rPr>
      </w:pPr>
    </w:p>
    <w:p w:rsidR="00FD3A73" w:rsidRPr="00251DE6" w:rsidRDefault="00FD3A73" w:rsidP="0068243F">
      <w:pPr>
        <w:autoSpaceDE w:val="0"/>
        <w:autoSpaceDN w:val="0"/>
        <w:adjustRightInd w:val="0"/>
        <w:spacing w:after="0" w:line="360" w:lineRule="auto"/>
        <w:jc w:val="both"/>
        <w:rPr>
          <w:rFonts w:ascii="Arial" w:hAnsi="Arial" w:cs="Arial"/>
          <w:b/>
          <w:i/>
          <w:sz w:val="24"/>
          <w:szCs w:val="24"/>
        </w:rPr>
      </w:pPr>
      <w:r w:rsidRPr="00251DE6">
        <w:rPr>
          <w:rFonts w:ascii="Arial" w:hAnsi="Arial" w:cs="Arial"/>
          <w:sz w:val="24"/>
          <w:szCs w:val="24"/>
          <w:lang w:eastAsia="pt-BR"/>
        </w:rPr>
        <w:t xml:space="preserve">Representação apontou supostas irregularidades no Pregão Eletrônico 18/2011, conduzido pela Universidade Federal do Oeste do Pará - UFOPA, que tem por objeto a aquisição de equipamentos de informática. Entre os indícios de irregularidades, destaque-se a inabilitação de empresa licitante por descumprimento de cláusula do Edital que exigia a </w:t>
      </w:r>
      <w:r w:rsidRPr="00251DE6">
        <w:rPr>
          <w:rFonts w:ascii="Arial" w:hAnsi="Arial" w:cs="Arial"/>
          <w:iCs/>
          <w:sz w:val="24"/>
          <w:szCs w:val="24"/>
          <w:lang w:eastAsia="pt-BR"/>
        </w:rPr>
        <w:t>apresentação de declaração em papel timbrado do fabricante, informando que está por ele credenciada a fornecer o produto pretendido.</w:t>
      </w:r>
      <w:r w:rsidRPr="00251DE6">
        <w:rPr>
          <w:rFonts w:ascii="Arial" w:hAnsi="Arial" w:cs="Arial"/>
          <w:i/>
          <w:iCs/>
          <w:sz w:val="24"/>
          <w:szCs w:val="24"/>
          <w:lang w:eastAsia="pt-BR"/>
        </w:rPr>
        <w:t xml:space="preserve"> </w:t>
      </w:r>
      <w:r w:rsidRPr="00251DE6">
        <w:rPr>
          <w:rFonts w:ascii="Arial" w:hAnsi="Arial" w:cs="Arial"/>
          <w:iCs/>
          <w:sz w:val="24"/>
          <w:szCs w:val="24"/>
          <w:lang w:eastAsia="pt-BR"/>
        </w:rPr>
        <w:t xml:space="preserve">O relator, </w:t>
      </w:r>
      <w:r w:rsidRPr="00251DE6">
        <w:rPr>
          <w:rFonts w:ascii="Arial" w:hAnsi="Arial" w:cs="Arial"/>
          <w:sz w:val="24"/>
          <w:szCs w:val="24"/>
          <w:lang w:eastAsia="pt-BR"/>
        </w:rPr>
        <w:t>por considerar que tal exigência não encontrava amparo na legislação e, em razão de outras falhas, determinou, em caráter cautelar, com posterior endosso do Plenário, que a UFOPA</w:t>
      </w:r>
      <w:r w:rsidRPr="00251DE6">
        <w:rPr>
          <w:rFonts w:ascii="Arial" w:hAnsi="Arial" w:cs="Arial"/>
          <w:sz w:val="24"/>
          <w:szCs w:val="24"/>
        </w:rPr>
        <w:t xml:space="preserve"> se abstivesse de contratar a empresa declarada vencedora ou de efetuar pagamentos a ela, se a contratação já houvesse ocorrido. Determinou, também, a oitiva dessa empresa e daquela Universidade. Em resposta à oitiva, o gestor asseverou que pretendia assegurar sólida </w:t>
      </w:r>
      <w:r w:rsidRPr="00251DE6">
        <w:rPr>
          <w:rFonts w:ascii="Arial" w:hAnsi="Arial" w:cs="Arial"/>
          <w:iCs/>
          <w:sz w:val="24"/>
          <w:szCs w:val="24"/>
          <w:lang w:eastAsia="pt-BR"/>
        </w:rPr>
        <w:t>“</w:t>
      </w:r>
      <w:r w:rsidRPr="00251DE6">
        <w:rPr>
          <w:rFonts w:ascii="Arial" w:hAnsi="Arial" w:cs="Arial"/>
          <w:i/>
          <w:iCs/>
          <w:sz w:val="24"/>
          <w:szCs w:val="24"/>
          <w:lang w:eastAsia="pt-BR"/>
        </w:rPr>
        <w:t>garantia de assistência técnica</w:t>
      </w:r>
      <w:r w:rsidRPr="00251DE6">
        <w:rPr>
          <w:rFonts w:ascii="Arial" w:hAnsi="Arial" w:cs="Arial"/>
          <w:iCs/>
          <w:sz w:val="24"/>
          <w:szCs w:val="24"/>
          <w:lang w:eastAsia="pt-BR"/>
        </w:rPr>
        <w:t>”</w:t>
      </w:r>
      <w:r w:rsidRPr="00251DE6">
        <w:rPr>
          <w:rFonts w:ascii="Arial" w:hAnsi="Arial" w:cs="Arial"/>
          <w:i/>
          <w:iCs/>
          <w:sz w:val="24"/>
          <w:szCs w:val="24"/>
          <w:lang w:eastAsia="pt-BR"/>
        </w:rPr>
        <w:t xml:space="preserve"> </w:t>
      </w:r>
      <w:r w:rsidRPr="00251DE6">
        <w:rPr>
          <w:rFonts w:ascii="Arial" w:hAnsi="Arial" w:cs="Arial"/>
          <w:iCs/>
          <w:sz w:val="24"/>
          <w:szCs w:val="24"/>
          <w:lang w:eastAsia="pt-BR"/>
        </w:rPr>
        <w:t>e a “</w:t>
      </w:r>
      <w:r w:rsidRPr="00251DE6">
        <w:rPr>
          <w:rFonts w:ascii="Arial" w:hAnsi="Arial" w:cs="Arial"/>
          <w:i/>
          <w:iCs/>
          <w:sz w:val="24"/>
          <w:szCs w:val="24"/>
          <w:lang w:eastAsia="pt-BR"/>
        </w:rPr>
        <w:t>interoperatividade dos bens</w:t>
      </w:r>
      <w:r w:rsidRPr="00251DE6">
        <w:rPr>
          <w:rFonts w:ascii="Arial" w:hAnsi="Arial" w:cs="Arial"/>
          <w:iCs/>
          <w:sz w:val="24"/>
          <w:szCs w:val="24"/>
          <w:lang w:eastAsia="pt-BR"/>
        </w:rPr>
        <w:t>”. E, também, que buscava evitar que os equipamentos adquiridos fossem produto de pirataria ou contrabando. A empresa também enfatizou esses aspectos. A unidade técnica, porém, considerou que “</w:t>
      </w:r>
      <w:r w:rsidRPr="00251DE6">
        <w:rPr>
          <w:rFonts w:ascii="Arial" w:hAnsi="Arial" w:cs="Arial"/>
          <w:i/>
          <w:sz w:val="24"/>
          <w:szCs w:val="24"/>
          <w:lang w:eastAsia="pt-BR"/>
        </w:rPr>
        <w:t>as exigências de habilitação devem se limitar ao estritamente indispensável à garantia do cumprimento das obrigações, de modo a atender o art. 37, inciso XXI, da Constituição Federal c/c os arts. 27 a 31 da Lei 8.666/1993”</w:t>
      </w:r>
      <w:r w:rsidRPr="00251DE6">
        <w:rPr>
          <w:rFonts w:ascii="Arial" w:hAnsi="Arial" w:cs="Arial"/>
          <w:sz w:val="24"/>
          <w:szCs w:val="24"/>
          <w:lang w:eastAsia="pt-BR"/>
        </w:rPr>
        <w:t>. E acrescentou: a despeito de se estar examinando requisitos da proposta e não de habilitação, “</w:t>
      </w:r>
      <w:r w:rsidRPr="00251DE6">
        <w:rPr>
          <w:rFonts w:ascii="Arial" w:hAnsi="Arial" w:cs="Arial"/>
          <w:i/>
          <w:sz w:val="24"/>
          <w:szCs w:val="24"/>
          <w:lang w:eastAsia="pt-BR"/>
        </w:rPr>
        <w:t>o mesmo sentido teleológico deve ser observado, para que as exigências se limitem ao indispensável à garantia dos interesses da Administração</w:t>
      </w:r>
      <w:r w:rsidRPr="00251DE6">
        <w:rPr>
          <w:rFonts w:ascii="Arial" w:hAnsi="Arial" w:cs="Arial"/>
          <w:sz w:val="24"/>
          <w:szCs w:val="24"/>
          <w:lang w:eastAsia="pt-BR"/>
        </w:rPr>
        <w:t xml:space="preserve">”. Por esse motivo e também por outros vícios, ofereceu proposta de anulação do certame, que foi endossada pelo relator. O Tribunal, então, determinou </w:t>
      </w:r>
      <w:r w:rsidRPr="00251DE6">
        <w:rPr>
          <w:rFonts w:ascii="Arial" w:hAnsi="Arial" w:cs="Arial"/>
          <w:sz w:val="24"/>
          <w:szCs w:val="24"/>
        </w:rPr>
        <w:t>à UFOPA que adote “</w:t>
      </w:r>
      <w:r w:rsidRPr="00251DE6">
        <w:rPr>
          <w:rFonts w:ascii="Arial" w:hAnsi="Arial" w:cs="Arial"/>
          <w:i/>
          <w:sz w:val="24"/>
          <w:szCs w:val="24"/>
        </w:rPr>
        <w:t>as providências necessárias à anulação do Pregão Eletrônico nº 18/2011</w:t>
      </w:r>
      <w:r w:rsidRPr="00251DE6">
        <w:rPr>
          <w:rFonts w:ascii="Arial" w:hAnsi="Arial" w:cs="Arial"/>
          <w:sz w:val="24"/>
          <w:szCs w:val="24"/>
        </w:rPr>
        <w:t xml:space="preserve">”. Precedentes mencionados: Acórdãos nº </w:t>
      </w:r>
      <w:r w:rsidRPr="00251DE6">
        <w:rPr>
          <w:rFonts w:ascii="Arial" w:hAnsi="Arial" w:cs="Arial"/>
          <w:sz w:val="24"/>
          <w:szCs w:val="24"/>
          <w:lang w:eastAsia="pt-BR"/>
        </w:rPr>
        <w:t>2.404/2009 – 2ª Câmara e</w:t>
      </w:r>
      <w:r w:rsidRPr="00251DE6">
        <w:rPr>
          <w:rFonts w:ascii="Arial" w:hAnsi="Arial" w:cs="Arial"/>
          <w:sz w:val="24"/>
          <w:szCs w:val="24"/>
        </w:rPr>
        <w:t xml:space="preserve"> </w:t>
      </w:r>
      <w:r w:rsidRPr="00251DE6">
        <w:rPr>
          <w:rFonts w:ascii="Arial" w:hAnsi="Arial" w:cs="Arial"/>
          <w:sz w:val="24"/>
          <w:szCs w:val="24"/>
          <w:lang w:eastAsia="pt-BR"/>
        </w:rPr>
        <w:t xml:space="preserve">nº 110/2007, nº 112/2007, nº </w:t>
      </w:r>
      <w:r w:rsidRPr="00251DE6">
        <w:rPr>
          <w:rFonts w:ascii="Arial" w:hAnsi="Arial" w:cs="Arial"/>
          <w:sz w:val="24"/>
          <w:szCs w:val="24"/>
        </w:rPr>
        <w:t xml:space="preserve">423/2007, nº </w:t>
      </w:r>
      <w:r w:rsidRPr="00251DE6">
        <w:rPr>
          <w:rFonts w:ascii="Arial" w:hAnsi="Arial" w:cs="Arial"/>
          <w:sz w:val="24"/>
          <w:szCs w:val="24"/>
          <w:lang w:eastAsia="pt-BR"/>
        </w:rPr>
        <w:t xml:space="preserve">539/2007, </w:t>
      </w:r>
      <w:r w:rsidRPr="00251DE6">
        <w:rPr>
          <w:rFonts w:ascii="Arial" w:hAnsi="Arial" w:cs="Arial"/>
          <w:sz w:val="24"/>
          <w:szCs w:val="24"/>
        </w:rPr>
        <w:t xml:space="preserve">nº 1.729/2008 e nº </w:t>
      </w:r>
      <w:r w:rsidRPr="00251DE6">
        <w:rPr>
          <w:rFonts w:ascii="Arial" w:hAnsi="Arial" w:cs="Arial"/>
          <w:sz w:val="24"/>
          <w:szCs w:val="24"/>
          <w:lang w:eastAsia="pt-BR"/>
        </w:rPr>
        <w:t>1.227/2009, todos do Plenário</w:t>
      </w:r>
      <w:r w:rsidRPr="00251DE6">
        <w:rPr>
          <w:rFonts w:ascii="Arial" w:hAnsi="Arial" w:cs="Arial"/>
          <w:b/>
          <w:i/>
          <w:sz w:val="24"/>
          <w:szCs w:val="24"/>
        </w:rPr>
        <w:t>. Acórdão n.º 847/2012-Plenário, TC 036.819/2011-5, rel. Min. José Jorge, 11.4.2012.</w:t>
      </w:r>
    </w:p>
    <w:p w:rsidR="00FD3A73" w:rsidRPr="00251DE6" w:rsidRDefault="00FD3A73" w:rsidP="0068243F">
      <w:pPr>
        <w:autoSpaceDE w:val="0"/>
        <w:autoSpaceDN w:val="0"/>
        <w:adjustRightInd w:val="0"/>
        <w:spacing w:after="0" w:line="360" w:lineRule="auto"/>
        <w:jc w:val="both"/>
        <w:rPr>
          <w:rFonts w:ascii="Arial" w:hAnsi="Arial" w:cs="Arial"/>
          <w:b/>
          <w:i/>
          <w:sz w:val="24"/>
          <w:szCs w:val="24"/>
        </w:rPr>
      </w:pPr>
    </w:p>
    <w:p w:rsidR="00FD3A73" w:rsidRPr="00251DE6" w:rsidRDefault="00FD3A73" w:rsidP="0068243F">
      <w:pPr>
        <w:autoSpaceDE w:val="0"/>
        <w:autoSpaceDN w:val="0"/>
        <w:adjustRightInd w:val="0"/>
        <w:spacing w:after="0" w:line="360" w:lineRule="auto"/>
        <w:jc w:val="both"/>
        <w:rPr>
          <w:rFonts w:ascii="Arial" w:hAnsi="Arial" w:cs="Arial"/>
          <w:b/>
          <w:i/>
          <w:sz w:val="24"/>
          <w:szCs w:val="24"/>
        </w:rPr>
      </w:pPr>
    </w:p>
    <w:p w:rsidR="00FD3A73" w:rsidRPr="00251DE6" w:rsidRDefault="00FD3A73" w:rsidP="0068243F">
      <w:pPr>
        <w:autoSpaceDE w:val="0"/>
        <w:autoSpaceDN w:val="0"/>
        <w:adjustRightInd w:val="0"/>
        <w:spacing w:after="0" w:line="360" w:lineRule="auto"/>
        <w:jc w:val="both"/>
        <w:rPr>
          <w:rFonts w:ascii="Arial" w:hAnsi="Arial" w:cs="Arial"/>
          <w:b/>
          <w:i/>
          <w:sz w:val="24"/>
          <w:szCs w:val="24"/>
        </w:rPr>
      </w:pPr>
    </w:p>
    <w:p w:rsidR="00FD3A73" w:rsidRPr="00251DE6" w:rsidRDefault="00FD3A73" w:rsidP="0068243F">
      <w:pPr>
        <w:pStyle w:val="Default"/>
        <w:spacing w:line="360" w:lineRule="auto"/>
        <w:jc w:val="both"/>
        <w:rPr>
          <w:rFonts w:ascii="Arial" w:hAnsi="Arial" w:cs="Arial"/>
          <w:b/>
        </w:rPr>
      </w:pPr>
      <w:r w:rsidRPr="00251DE6">
        <w:rPr>
          <w:rFonts w:ascii="Arial" w:hAnsi="Arial" w:cs="Arial"/>
          <w:b/>
        </w:rPr>
        <w:t>Conjunto robusto de elementos que indiquem direcionamento de licitação em favor de certa empresa, ainda que do respectivo contrato não tenha resultado dano, justifica a aplicação de multa aos gestores responsáveis e a declaração de inidoneidade da empresa favorecida pela fraude</w:t>
      </w:r>
    </w:p>
    <w:p w:rsidR="00FD3A73" w:rsidRPr="00251DE6" w:rsidRDefault="00FD3A73" w:rsidP="0068243F">
      <w:pPr>
        <w:pStyle w:val="Default"/>
        <w:spacing w:line="360" w:lineRule="auto"/>
        <w:jc w:val="both"/>
        <w:rPr>
          <w:rFonts w:ascii="Arial" w:hAnsi="Arial" w:cs="Arial"/>
          <w:b/>
        </w:rPr>
      </w:pPr>
    </w:p>
    <w:p w:rsidR="00FD3A73" w:rsidRPr="00251DE6" w:rsidRDefault="00FD3A73" w:rsidP="0068243F">
      <w:pPr>
        <w:autoSpaceDE w:val="0"/>
        <w:autoSpaceDN w:val="0"/>
        <w:adjustRightInd w:val="0"/>
        <w:spacing w:after="0" w:line="360" w:lineRule="auto"/>
        <w:jc w:val="both"/>
        <w:rPr>
          <w:rFonts w:ascii="Arial" w:hAnsi="Arial" w:cs="Arial"/>
          <w:sz w:val="24"/>
          <w:szCs w:val="24"/>
        </w:rPr>
      </w:pPr>
      <w:r w:rsidRPr="00251DE6">
        <w:rPr>
          <w:rFonts w:ascii="Arial" w:hAnsi="Arial" w:cs="Arial"/>
          <w:sz w:val="24"/>
          <w:szCs w:val="24"/>
        </w:rPr>
        <w:t>Tomada de contas especial apurou possíveis irregularidades na Tomada de Preços 2/2005 realizada pelo Município de Olindina/BA, cujo objeto foi o fornecimento de alimentação escolar durante o exercício de 2005, custeado com federais. A despeito de não se ter identificado a ocorrência de dano ao erário, diversas irregularidades restaram caracterizadas, conforme síntese apresentada pelo Relator: a) a empresa vencedora do certame tinha, como sócia, filha do presidente da comissão de licitação; b) tal empresa, baseada em Sergipe, foi a única participante do certame realizado na Bahia; c) todos os atos de abertura do referido processo licitatório ocorreram no dia 26/1/2005; d) a ficha de inscrição cadastral emitida pelo Estado de Sergipe da empresa apresentava prazo de validade expirado; e) a ata do Conselho Municipal de Alimentação Escolar do Município que atestou o recebimento dos produtos e aprovou as contas tem data anterior à da realização das despesas; f) os conselheiros que assinaram a referida ata não constam no rol de Conselheiros registrados no FNDE para o período de 9/4/2003 a 9/4/2005. Em face desse conjunto probatório, concluiu o relator, na mesma linha de entendimento da unidade técnica e do MP/TCU que “</w:t>
      </w:r>
      <w:r w:rsidRPr="00251DE6">
        <w:rPr>
          <w:rFonts w:ascii="Arial" w:hAnsi="Arial" w:cs="Arial"/>
          <w:i/>
          <w:sz w:val="24"/>
          <w:szCs w:val="24"/>
        </w:rPr>
        <w:t>houve direcionamento e fraude na referida licitação</w:t>
      </w:r>
      <w:r w:rsidRPr="00251DE6">
        <w:rPr>
          <w:rFonts w:ascii="Arial" w:hAnsi="Arial" w:cs="Arial"/>
          <w:sz w:val="24"/>
          <w:szCs w:val="24"/>
        </w:rPr>
        <w:t xml:space="preserve">” e que os responsáveis e a empresa deveriam ser apenados . Deixou, contudo, de acatar a sugestão de aplicação de multa do art. 58 da Lei nº 8.443/1992 à empresa, tendo em vista a inexistência de débito. O Tribunal então, ao endossar a proposta do relator decidiu: a) </w:t>
      </w:r>
      <w:r w:rsidRPr="00251DE6">
        <w:rPr>
          <w:rFonts w:ascii="Arial" w:hAnsi="Arial" w:cs="Arial"/>
          <w:sz w:val="24"/>
          <w:szCs w:val="24"/>
          <w:lang w:eastAsia="pt-BR"/>
        </w:rPr>
        <w:t xml:space="preserve">aplicar ao ex-Prefeito  do município multa no valor de R$ 10.000,00 e aos integrantes da comissão de licitação, no valor de R$ 5.000,00; b) declarar a inidoneidade da empresa Vitor e Souza Comércio Ltda. para contratar com a Administração por um ano, com suporte no comando contido no art. 46 da  Lei nº 8.666/1993. </w:t>
      </w:r>
      <w:r w:rsidRPr="00251DE6">
        <w:rPr>
          <w:rFonts w:ascii="Arial" w:hAnsi="Arial" w:cs="Arial"/>
          <w:b/>
          <w:i/>
          <w:sz w:val="24"/>
          <w:szCs w:val="24"/>
        </w:rPr>
        <w:t>Acórdão n.º 856/2012-Plenário, TC 009.220/2009-9, rel. Min. Augusto Sherman Cavalcanti, 11.4.2012.</w:t>
      </w:r>
    </w:p>
    <w:p w:rsidR="00FD3A73" w:rsidRPr="00251DE6" w:rsidRDefault="007E3274" w:rsidP="0068243F">
      <w:pPr>
        <w:spacing w:line="360" w:lineRule="auto"/>
        <w:jc w:val="center"/>
        <w:rPr>
          <w:rFonts w:ascii="Arial" w:hAnsi="Arial" w:cs="Arial"/>
          <w:color w:val="FF0000"/>
          <w:sz w:val="24"/>
          <w:szCs w:val="24"/>
        </w:rPr>
      </w:pPr>
      <w:r w:rsidRPr="00251DE6">
        <w:rPr>
          <w:rFonts w:ascii="Arial" w:hAnsi="Arial" w:cs="Arial"/>
          <w:color w:val="FF0000"/>
          <w:sz w:val="24"/>
          <w:szCs w:val="24"/>
        </w:rPr>
        <w:t>102</w:t>
      </w:r>
    </w:p>
    <w:p w:rsidR="007E3274" w:rsidRPr="00251DE6" w:rsidRDefault="007E3274" w:rsidP="0068243F">
      <w:pPr>
        <w:spacing w:line="360" w:lineRule="auto"/>
        <w:rPr>
          <w:rFonts w:ascii="Arial" w:hAnsi="Arial" w:cs="Arial"/>
          <w:color w:val="FF0000"/>
          <w:sz w:val="24"/>
          <w:szCs w:val="24"/>
        </w:rPr>
      </w:pPr>
    </w:p>
    <w:p w:rsidR="007E3274" w:rsidRPr="00251DE6" w:rsidRDefault="007E3274" w:rsidP="0068243F">
      <w:pPr>
        <w:pStyle w:val="Default"/>
        <w:spacing w:line="360" w:lineRule="auto"/>
        <w:jc w:val="both"/>
        <w:rPr>
          <w:rFonts w:ascii="Arial" w:hAnsi="Arial" w:cs="Arial"/>
          <w:b/>
          <w:color w:val="auto"/>
        </w:rPr>
      </w:pPr>
      <w:r w:rsidRPr="00251DE6">
        <w:rPr>
          <w:rFonts w:ascii="Arial" w:hAnsi="Arial" w:cs="Arial"/>
          <w:b/>
          <w:color w:val="auto"/>
        </w:rPr>
        <w:t>A falta de apresentação pela licitante de item relevante do custo do serviço a ser contratado, exigência essa contida em edital de pregão eletrônico, não merece ser considerada falha formal passível de correção e justifica a desclassificação da respectiva proposta</w:t>
      </w:r>
    </w:p>
    <w:p w:rsidR="007E3274" w:rsidRPr="00251DE6" w:rsidRDefault="007E3274" w:rsidP="0068243F">
      <w:pPr>
        <w:pStyle w:val="Default"/>
        <w:spacing w:line="360" w:lineRule="auto"/>
        <w:jc w:val="both"/>
        <w:rPr>
          <w:rFonts w:ascii="Arial" w:hAnsi="Arial" w:cs="Arial"/>
          <w:b/>
          <w:color w:val="auto"/>
        </w:rPr>
      </w:pPr>
    </w:p>
    <w:p w:rsidR="007E3274" w:rsidRPr="00251DE6" w:rsidRDefault="007E3274" w:rsidP="0068243F">
      <w:pPr>
        <w:pStyle w:val="Default"/>
        <w:spacing w:line="360" w:lineRule="auto"/>
        <w:jc w:val="both"/>
        <w:rPr>
          <w:rFonts w:ascii="Arial" w:hAnsi="Arial" w:cs="Arial"/>
          <w:b/>
          <w:i/>
          <w:color w:val="auto"/>
        </w:rPr>
      </w:pPr>
      <w:r w:rsidRPr="00251DE6">
        <w:rPr>
          <w:rFonts w:ascii="Arial" w:hAnsi="Arial" w:cs="Arial"/>
          <w:color w:val="auto"/>
        </w:rPr>
        <w:t xml:space="preserve">Representação formulada por empresa apontou suposta irregularidade no Pregão Eletrônico 11/2011, promovido pelo Instituto Chico Mendes de Conservação da Biodiversidade (ICMBio), que teve por objeto a contratação da prestação continuada de serviços auxiliares operacionais nos grupos de recepção, transporte, reprografia, cargos extintos e informática e serviços técnicos especializados para fiscalização de contratos da entidade. O pregão foi composto por 36 itens e a autora da representante ofertou lance para o item 9 do edital, que consistia na prestação de serviços de apoio administrativo no Distrito Federal. Tal empresa teve sua </w:t>
      </w:r>
      <w:r w:rsidRPr="00251DE6">
        <w:rPr>
          <w:rFonts w:ascii="Arial" w:hAnsi="Arial" w:cs="Arial"/>
          <w:color w:val="auto"/>
          <w:u w:val="single"/>
        </w:rPr>
        <w:t>proposta desclassificada</w:t>
      </w:r>
      <w:r w:rsidRPr="00251DE6">
        <w:rPr>
          <w:rFonts w:ascii="Arial" w:hAnsi="Arial" w:cs="Arial"/>
          <w:color w:val="auto"/>
        </w:rPr>
        <w:t xml:space="preserve">, sob o fundamento de não conter todos os dados necessários para análise, especificamente por ter omitido o custo do funcionário ausente, o que teria violado as cláusulas contidas nos subitens 2.22.4.3.10 e 2.22.4.3.10.1, que impunham a apresentação de planilhas contendo informações analíticas sobre os custos dos serviços a serem prestados. Alegou fundamentalmente que: a) as informações prestadas teriam respeitado o modelo de planilha previsto no edital e que teria apresentado todas as informações requeridas; b) não fora concedida a ela a mesma possibilidade de correção de erros formais na planilha como fez a pregoeira para as demais licitantes, o que teria afrontado o princípio da isonomia. A unidade técnica registrou que a representante não demonstrou ter apresentado proposta que contivesse todos os elementos exigidos pelo edital. Considerou, também, correta a decisão da pregoeira de não admitir a retificação de sua proposta, por entender que a omissão identificada não poderia ser considerada falha formal. O relator, por sua vez, endossou essas conclusões e a respectiva proposta de encaminhamento. O Tribunal, então, decidiu conhecer a representação e, no mérito, considerá-la improcedente. </w:t>
      </w:r>
      <w:r w:rsidRPr="00251DE6">
        <w:rPr>
          <w:rFonts w:ascii="Arial" w:hAnsi="Arial" w:cs="Arial"/>
          <w:b/>
          <w:i/>
          <w:color w:val="auto"/>
        </w:rPr>
        <w:t>Acórdão n.º 2.079/2012-Primeira Câmara, TC 000.537/2012-8, rel. Min. Weder de Oliveira, 17.4.2012.</w:t>
      </w:r>
    </w:p>
    <w:p w:rsidR="007E3274" w:rsidRPr="00251DE6" w:rsidRDefault="007E3274" w:rsidP="0068243F">
      <w:pPr>
        <w:pStyle w:val="Default"/>
        <w:spacing w:line="360" w:lineRule="auto"/>
        <w:jc w:val="both"/>
        <w:rPr>
          <w:rFonts w:ascii="Arial" w:hAnsi="Arial" w:cs="Arial"/>
          <w:b/>
          <w:i/>
          <w:color w:val="auto"/>
        </w:rPr>
      </w:pPr>
    </w:p>
    <w:p w:rsidR="007E3274" w:rsidRPr="00251DE6" w:rsidRDefault="007E3274" w:rsidP="0068243F">
      <w:pPr>
        <w:pStyle w:val="Default"/>
        <w:spacing w:line="360" w:lineRule="auto"/>
        <w:jc w:val="both"/>
        <w:rPr>
          <w:rFonts w:ascii="Arial" w:hAnsi="Arial" w:cs="Arial"/>
          <w:b/>
          <w:i/>
          <w:color w:val="auto"/>
        </w:rPr>
      </w:pPr>
    </w:p>
    <w:p w:rsidR="007E3274" w:rsidRPr="00251DE6" w:rsidRDefault="007E3274" w:rsidP="0068243F">
      <w:pPr>
        <w:pStyle w:val="Default"/>
        <w:spacing w:line="360" w:lineRule="auto"/>
        <w:jc w:val="both"/>
        <w:rPr>
          <w:rFonts w:ascii="Arial" w:hAnsi="Arial" w:cs="Arial"/>
          <w:b/>
          <w:i/>
          <w:color w:val="auto"/>
        </w:rPr>
      </w:pPr>
    </w:p>
    <w:p w:rsidR="007E3274" w:rsidRPr="00251DE6" w:rsidRDefault="007E3274" w:rsidP="0068243F">
      <w:pPr>
        <w:pStyle w:val="Default"/>
        <w:spacing w:line="360" w:lineRule="auto"/>
        <w:jc w:val="both"/>
        <w:rPr>
          <w:rFonts w:ascii="Arial" w:hAnsi="Arial" w:cs="Arial"/>
          <w:b/>
          <w:color w:val="auto"/>
        </w:rPr>
      </w:pPr>
      <w:r w:rsidRPr="00251DE6">
        <w:rPr>
          <w:rFonts w:ascii="Arial" w:hAnsi="Arial" w:cs="Arial"/>
          <w:b/>
          <w:color w:val="auto"/>
        </w:rPr>
        <w:t>É lícita a contratação direta, com suporte no art. 24, inciso XIII, da Lei nº 8.666/93, de entidade para realização de serviços afetos a seu conjunto de competências, desde que demonstrada a correlação entre o objeto contratado e as atividades desenvolvidas pela empresa que o executará e atendidas as exigências desse comando normativo e dos incisos II e III do art. 26 dessa mesma lei</w:t>
      </w:r>
    </w:p>
    <w:p w:rsidR="007E3274" w:rsidRPr="00251DE6" w:rsidRDefault="007E3274" w:rsidP="0068243F">
      <w:pPr>
        <w:pStyle w:val="Default"/>
        <w:spacing w:line="360" w:lineRule="auto"/>
        <w:jc w:val="both"/>
        <w:rPr>
          <w:rFonts w:ascii="Arial" w:hAnsi="Arial" w:cs="Arial"/>
          <w:b/>
          <w:color w:val="auto"/>
        </w:rPr>
      </w:pPr>
    </w:p>
    <w:p w:rsidR="007E3274" w:rsidRPr="00251DE6" w:rsidRDefault="007E3274" w:rsidP="0068243F">
      <w:pPr>
        <w:pStyle w:val="Default"/>
        <w:spacing w:line="360" w:lineRule="auto"/>
        <w:jc w:val="both"/>
        <w:rPr>
          <w:rFonts w:ascii="Arial" w:hAnsi="Arial" w:cs="Arial"/>
          <w:b/>
          <w:i/>
          <w:color w:val="auto"/>
        </w:rPr>
      </w:pPr>
      <w:r w:rsidRPr="00251DE6">
        <w:rPr>
          <w:rFonts w:ascii="Arial" w:hAnsi="Arial" w:cs="Arial"/>
          <w:color w:val="auto"/>
        </w:rPr>
        <w:t>Representação apontou suposta irregularidade consistente na contratação direta, com suporte no art. 24, inciso XIII, da Lei nº 8.666/93, do Instituto de Políticas Públicas e Desenvolvimento Social e Educacional do Estado do Espírito Santo (IPPES), pelo Município de Mimoso do Sul/ES, visando a execução de ações de qualificação social e profissional e promoção de oportunidades de trabalho, emprego e renda para jovens em situação de maior vulnerabilidade social, no âmbito do Programa “</w:t>
      </w:r>
      <w:r w:rsidRPr="00251DE6">
        <w:rPr>
          <w:rFonts w:ascii="Arial" w:hAnsi="Arial" w:cs="Arial"/>
          <w:i/>
          <w:color w:val="auto"/>
        </w:rPr>
        <w:t>Projovem Trabalhador-Juventude Cidadã</w:t>
      </w:r>
      <w:r w:rsidRPr="00251DE6">
        <w:rPr>
          <w:rFonts w:ascii="Arial" w:hAnsi="Arial" w:cs="Arial"/>
          <w:color w:val="auto"/>
        </w:rPr>
        <w:t>”, no valor de R$ 1.115.730,00. O relator, ao endossar as conclusões do diretor e do secretário da unidade técnica, considerou ter sido “</w:t>
      </w:r>
      <w:r w:rsidRPr="00251DE6">
        <w:rPr>
          <w:rFonts w:ascii="Arial" w:hAnsi="Arial" w:cs="Arial"/>
          <w:i/>
          <w:color w:val="auto"/>
        </w:rPr>
        <w:t>demonstrada a correlação entre o objeto contratado e atividades desenvolvidas pelo ... IPPES</w:t>
      </w:r>
      <w:r w:rsidRPr="00251DE6">
        <w:rPr>
          <w:rFonts w:ascii="Arial" w:hAnsi="Arial" w:cs="Arial"/>
          <w:color w:val="auto"/>
        </w:rPr>
        <w:t>”; registrou a existência de documentação que comprova a habilitação jurídica e a regularidade fiscal e trabalhista da instituição. Observou que foram trazidos aos autos declarações de utilidade pública e a Resolução que aprovou a inscrição do IPPES em Conselho Municipal de Assistência Social, bem como os atestados de capacidade técnica fornecidos pelo Ministério do Trabalho e Emprego (MTE) e por prefeituras do Estado do Espírito Santo, documentação essa que comprova a constituição legal há mais de três anos, com atuação no campo de sua especialidade.</w:t>
      </w:r>
      <w:r w:rsidRPr="00251DE6">
        <w:rPr>
          <w:rFonts w:ascii="Arial" w:hAnsi="Arial" w:cs="Arial"/>
          <w:i/>
          <w:color w:val="auto"/>
        </w:rPr>
        <w:t xml:space="preserve"> </w:t>
      </w:r>
      <w:r w:rsidRPr="00251DE6">
        <w:rPr>
          <w:rFonts w:ascii="Arial" w:hAnsi="Arial" w:cs="Arial"/>
          <w:color w:val="auto"/>
        </w:rPr>
        <w:t>Tais documentos, no dizer do relator, “</w:t>
      </w:r>
      <w:r w:rsidRPr="00251DE6">
        <w:rPr>
          <w:rFonts w:ascii="Arial" w:hAnsi="Arial" w:cs="Arial"/>
          <w:i/>
          <w:color w:val="auto"/>
        </w:rPr>
        <w:t>são importantes para certificar que a entidade não foi criada recentemente e com o propósito de participar de esquemas fraudulentos</w:t>
      </w:r>
      <w:r w:rsidRPr="00251DE6">
        <w:rPr>
          <w:rFonts w:ascii="Arial" w:hAnsi="Arial" w:cs="Arial"/>
          <w:color w:val="auto"/>
        </w:rPr>
        <w:t>”. Acrescentou que “</w:t>
      </w:r>
      <w:r w:rsidRPr="00251DE6">
        <w:rPr>
          <w:rFonts w:ascii="Arial" w:hAnsi="Arial" w:cs="Arial"/>
          <w:i/>
          <w:color w:val="auto"/>
        </w:rPr>
        <w:t>É acertada a exigência de que o processo de dispensa seja instruído, dentre outros elementos, com a razão da escolha do fornecedor ou executante e com a justificativa do preço (art. 26, parágrafo único, incisos II e III da Lei 8.666/1993)</w:t>
      </w:r>
      <w:r w:rsidRPr="00251DE6">
        <w:rPr>
          <w:rFonts w:ascii="Arial" w:hAnsi="Arial" w:cs="Arial"/>
          <w:color w:val="auto"/>
        </w:rPr>
        <w:t>”. Valeu-se, quanto ao último desses quesitos</w:t>
      </w:r>
      <w:r w:rsidRPr="00251DE6">
        <w:rPr>
          <w:rFonts w:ascii="Arial" w:hAnsi="Arial" w:cs="Arial"/>
          <w:bCs/>
          <w:color w:val="auto"/>
        </w:rPr>
        <w:t>, de manifestação do d</w:t>
      </w:r>
      <w:r w:rsidRPr="00251DE6">
        <w:rPr>
          <w:rFonts w:ascii="Arial" w:hAnsi="Arial" w:cs="Arial"/>
          <w:color w:val="auto"/>
        </w:rPr>
        <w:t>iretor técnico, segundo o qual restou “</w:t>
      </w:r>
      <w:r w:rsidRPr="00251DE6">
        <w:rPr>
          <w:rFonts w:ascii="Arial" w:hAnsi="Arial" w:cs="Arial"/>
          <w:i/>
          <w:color w:val="auto"/>
        </w:rPr>
        <w:t>evidenciada a compatibilidade dos valores registrados no plano de trabalho com os parâmetros definidos pela legislação aplicável do Conselho Deliberativo do Fundo de Amparo ao Trabalhador (Codefat)</w:t>
      </w:r>
      <w:r w:rsidRPr="00251DE6">
        <w:rPr>
          <w:rFonts w:ascii="Arial" w:hAnsi="Arial" w:cs="Arial"/>
          <w:color w:val="auto"/>
        </w:rPr>
        <w:t>”. O Tribunal, então, ao acolher proposta do relator, decidiu conhecer a presente representação e, no mérito, considerou-a improcedente</w:t>
      </w:r>
      <w:r w:rsidRPr="00251DE6">
        <w:rPr>
          <w:rFonts w:ascii="Arial" w:hAnsi="Arial" w:cs="Arial"/>
          <w:i/>
          <w:color w:val="auto"/>
        </w:rPr>
        <w:t xml:space="preserve">. </w:t>
      </w:r>
      <w:r w:rsidRPr="00251DE6">
        <w:rPr>
          <w:rFonts w:ascii="Arial" w:hAnsi="Arial" w:cs="Arial"/>
          <w:b/>
          <w:i/>
          <w:color w:val="auto"/>
        </w:rPr>
        <w:t>Acórdão n.º 898/2012-Plenário, TC 032.264/2011-9, rel. Min. Aroldo Cedraz, 18.4.2012.</w:t>
      </w:r>
      <w:r w:rsidRPr="00251DE6">
        <w:rPr>
          <w:rFonts w:ascii="Arial" w:hAnsi="Arial" w:cs="Arial"/>
          <w:b/>
          <w:bCs/>
          <w:i/>
          <w:smallCaps/>
          <w:color w:val="auto"/>
        </w:rPr>
        <w:t xml:space="preserve"> </w:t>
      </w:r>
    </w:p>
    <w:p w:rsidR="007E3274" w:rsidRPr="00251DE6" w:rsidRDefault="007E3274" w:rsidP="0068243F">
      <w:pPr>
        <w:pStyle w:val="Default"/>
        <w:spacing w:line="360" w:lineRule="auto"/>
        <w:jc w:val="both"/>
        <w:rPr>
          <w:rFonts w:ascii="Arial" w:hAnsi="Arial" w:cs="Arial"/>
          <w:b/>
          <w:i/>
          <w:color w:val="auto"/>
        </w:rPr>
      </w:pPr>
    </w:p>
    <w:p w:rsidR="007E3274" w:rsidRPr="00251DE6" w:rsidRDefault="007E3274" w:rsidP="0068243F">
      <w:pPr>
        <w:spacing w:line="360" w:lineRule="auto"/>
        <w:rPr>
          <w:rFonts w:ascii="Arial" w:hAnsi="Arial" w:cs="Arial"/>
          <w:color w:val="FF0000"/>
          <w:sz w:val="24"/>
          <w:szCs w:val="24"/>
        </w:rPr>
      </w:pPr>
    </w:p>
    <w:p w:rsidR="007E3274" w:rsidRPr="00251DE6" w:rsidRDefault="007E3274" w:rsidP="0068243F">
      <w:pPr>
        <w:autoSpaceDE w:val="0"/>
        <w:autoSpaceDN w:val="0"/>
        <w:adjustRightInd w:val="0"/>
        <w:spacing w:after="0" w:line="360" w:lineRule="auto"/>
        <w:rPr>
          <w:rFonts w:ascii="Arial" w:hAnsi="Arial" w:cs="Arial"/>
          <w:b/>
          <w:iCs/>
          <w:sz w:val="24"/>
          <w:szCs w:val="24"/>
        </w:rPr>
      </w:pPr>
      <w:r w:rsidRPr="00251DE6">
        <w:rPr>
          <w:rFonts w:ascii="Arial" w:hAnsi="Arial" w:cs="Arial"/>
          <w:b/>
          <w:iCs/>
          <w:sz w:val="24"/>
          <w:szCs w:val="24"/>
        </w:rPr>
        <w:t>A exigência de atestados de capacidade técnica com registro de quantitativos superiores aos do serviço que se pretende contratar configura restrição ao caráter competitivo de certame licitatório e justifica sua suspensão cautelar</w:t>
      </w:r>
    </w:p>
    <w:p w:rsidR="007E3274" w:rsidRPr="00251DE6" w:rsidRDefault="007E3274" w:rsidP="0068243F">
      <w:pPr>
        <w:autoSpaceDE w:val="0"/>
        <w:autoSpaceDN w:val="0"/>
        <w:adjustRightInd w:val="0"/>
        <w:spacing w:after="0" w:line="360" w:lineRule="auto"/>
        <w:rPr>
          <w:rFonts w:ascii="Arial" w:hAnsi="Arial" w:cs="Arial"/>
          <w:b/>
          <w:sz w:val="24"/>
          <w:szCs w:val="24"/>
        </w:rPr>
      </w:pPr>
    </w:p>
    <w:p w:rsidR="007E3274" w:rsidRPr="00251DE6" w:rsidRDefault="007E3274" w:rsidP="0068243F">
      <w:pPr>
        <w:pStyle w:val="TCU-RelVoto-demais"/>
        <w:spacing w:line="360" w:lineRule="auto"/>
        <w:rPr>
          <w:rFonts w:ascii="Arial" w:hAnsi="Arial" w:cs="Arial"/>
          <w:b/>
          <w:i/>
          <w:szCs w:val="24"/>
        </w:rPr>
      </w:pPr>
      <w:r w:rsidRPr="00251DE6">
        <w:rPr>
          <w:rFonts w:ascii="Arial" w:hAnsi="Arial" w:cs="Arial"/>
          <w:szCs w:val="24"/>
        </w:rPr>
        <w:t xml:space="preserve">Representação apontou possíveis irregularidades no âmbito do Pregão Eletrônico nº 302/2011 promovido pelo Hospital Universitário de Brasília (HUB) para contratação de serviços de limpeza hospitalar. Constou do respectivo edital </w:t>
      </w:r>
      <w:r w:rsidRPr="00251DE6">
        <w:rPr>
          <w:rFonts w:ascii="Arial" w:hAnsi="Arial" w:cs="Arial"/>
          <w:iCs/>
          <w:szCs w:val="24"/>
        </w:rPr>
        <w:t>requisito de habilitação (subitem 11.2.4) segundo o qual a licitante melhor classificada na fase de lances deveria apresentar</w:t>
      </w:r>
      <w:r w:rsidRPr="00251DE6">
        <w:rPr>
          <w:rFonts w:ascii="Arial" w:hAnsi="Arial" w:cs="Arial"/>
          <w:i/>
          <w:iCs/>
          <w:szCs w:val="24"/>
        </w:rPr>
        <w:t xml:space="preserve"> </w:t>
      </w:r>
      <w:r w:rsidRPr="00251DE6">
        <w:rPr>
          <w:rFonts w:ascii="Arial" w:hAnsi="Arial" w:cs="Arial"/>
          <w:iCs/>
          <w:szCs w:val="24"/>
        </w:rPr>
        <w:t>“</w:t>
      </w:r>
      <w:r w:rsidRPr="00251DE6">
        <w:rPr>
          <w:rFonts w:ascii="Arial" w:hAnsi="Arial" w:cs="Arial"/>
          <w:i/>
          <w:iCs/>
          <w:szCs w:val="24"/>
        </w:rPr>
        <w:t>atestado de capacidade técnica comprovando a prestação de serviços em estabelecimento de saúde com, no mínimo, 250 leitos</w:t>
      </w:r>
      <w:r w:rsidRPr="00251DE6">
        <w:rPr>
          <w:rFonts w:ascii="Arial" w:hAnsi="Arial" w:cs="Arial"/>
          <w:iCs/>
          <w:szCs w:val="24"/>
        </w:rPr>
        <w:t xml:space="preserve">”, o que superaria a número de leitos do HUB estimados em 200. Fundamentalmente por considerar que tal exigência não se ajusta aos balizamentos contidos nos comandos do art. 3º, § 1º, inc. I, e do art. 30, inc. II, o relator concedeu medida cautelar para suspender o certame, a qual foi ratificada pelo Plenário. A </w:t>
      </w:r>
      <w:r w:rsidRPr="00251DE6">
        <w:rPr>
          <w:rFonts w:ascii="Arial" w:hAnsi="Arial" w:cs="Arial"/>
          <w:szCs w:val="24"/>
        </w:rPr>
        <w:t>empresa Dinâmica Administração, Serviços e Obras Ltda., que havia sido habilitada e classificada no certame, inconformada com a medida adotada, interpôs contra ela agravo. O relator ressaltou, então, que a jurisprudência do Tribunal aponta no sentido de admitir para a demonstração de capacidade operacional a exigência de apresentação de atestados que comprovem a execução de, no máximo, “</w:t>
      </w:r>
      <w:r w:rsidRPr="00251DE6">
        <w:rPr>
          <w:rFonts w:ascii="Arial" w:hAnsi="Arial" w:cs="Arial"/>
          <w:i/>
          <w:iCs/>
          <w:szCs w:val="24"/>
        </w:rPr>
        <w:t>50% dos quantitativos dos itens de maior relevância da obra ou serviço licitado</w:t>
      </w:r>
      <w:r w:rsidRPr="00251DE6">
        <w:rPr>
          <w:rFonts w:ascii="Arial" w:hAnsi="Arial" w:cs="Arial"/>
          <w:iCs/>
          <w:szCs w:val="24"/>
        </w:rPr>
        <w:t>”</w:t>
      </w:r>
      <w:r w:rsidRPr="00251DE6">
        <w:rPr>
          <w:rFonts w:ascii="Arial" w:hAnsi="Arial" w:cs="Arial"/>
          <w:i/>
          <w:iCs/>
          <w:szCs w:val="24"/>
        </w:rPr>
        <w:t>.</w:t>
      </w:r>
      <w:r w:rsidRPr="00251DE6">
        <w:rPr>
          <w:rFonts w:ascii="Arial" w:hAnsi="Arial" w:cs="Arial"/>
          <w:iCs/>
          <w:szCs w:val="24"/>
        </w:rPr>
        <w:t xml:space="preserve"> No caso concreto,</w:t>
      </w:r>
      <w:r w:rsidRPr="00251DE6">
        <w:rPr>
          <w:rFonts w:ascii="Arial" w:hAnsi="Arial" w:cs="Arial"/>
          <w:i/>
          <w:iCs/>
          <w:szCs w:val="24"/>
        </w:rPr>
        <w:t xml:space="preserve"> “</w:t>
      </w:r>
      <w:r w:rsidRPr="00251DE6">
        <w:rPr>
          <w:rFonts w:ascii="Arial" w:hAnsi="Arial" w:cs="Arial"/>
          <w:i/>
          <w:szCs w:val="24"/>
        </w:rPr>
        <w:t>a exigência ... extrapolaria o percentual de 100%!</w:t>
      </w:r>
      <w:r w:rsidRPr="00251DE6">
        <w:rPr>
          <w:rFonts w:ascii="Arial" w:hAnsi="Arial" w:cs="Arial"/>
          <w:szCs w:val="24"/>
        </w:rPr>
        <w:t>”, sem que houvesse justificativas para tanto. Além disso, os serviços de limpeza a serem executados nas áreas hospitalares críticas atingem apenas 28% da área total licitada. Anotou que “</w:t>
      </w:r>
      <w:r w:rsidRPr="00251DE6">
        <w:rPr>
          <w:rFonts w:ascii="Arial" w:hAnsi="Arial" w:cs="Arial"/>
          <w:i/>
          <w:szCs w:val="24"/>
        </w:rPr>
        <w:t>potenciais licitantes</w:t>
      </w:r>
      <w:r w:rsidRPr="00251DE6">
        <w:rPr>
          <w:rFonts w:ascii="Arial" w:hAnsi="Arial" w:cs="Arial"/>
          <w:szCs w:val="24"/>
        </w:rPr>
        <w:t>”, ao se depararem com a referida exigência, “</w:t>
      </w:r>
      <w:r w:rsidRPr="00251DE6">
        <w:rPr>
          <w:rFonts w:ascii="Arial" w:hAnsi="Arial" w:cs="Arial"/>
          <w:i/>
          <w:szCs w:val="24"/>
        </w:rPr>
        <w:t>podem ter tomado de imediato a decisão de não participar do certame</w:t>
      </w:r>
      <w:r w:rsidRPr="00251DE6">
        <w:rPr>
          <w:rFonts w:ascii="Arial" w:hAnsi="Arial" w:cs="Arial"/>
          <w:szCs w:val="24"/>
        </w:rPr>
        <w:t>”. Debruçou-se ainda sobre o pedido de “</w:t>
      </w:r>
      <w:r w:rsidRPr="00251DE6">
        <w:rPr>
          <w:rFonts w:ascii="Arial" w:hAnsi="Arial" w:cs="Arial"/>
          <w:i/>
          <w:szCs w:val="24"/>
        </w:rPr>
        <w:t>nova análise da habilitação dos licitantes com o critério de 50% do quantitativo da capacidade técnica indicada no certame”</w:t>
      </w:r>
      <w:r w:rsidRPr="00251DE6">
        <w:rPr>
          <w:rFonts w:ascii="Arial" w:hAnsi="Arial" w:cs="Arial"/>
          <w:szCs w:val="24"/>
        </w:rPr>
        <w:t>. Ponderou, entretanto, que não poderia ser ele atendido, visto que isso implicaria “</w:t>
      </w:r>
      <w:r w:rsidRPr="00251DE6">
        <w:rPr>
          <w:rFonts w:ascii="Arial" w:hAnsi="Arial" w:cs="Arial"/>
          <w:i/>
          <w:szCs w:val="24"/>
        </w:rPr>
        <w:t>flagrante violação aos princípios da vinculação ao instrumento convocatório e do julgamento objetivo</w:t>
      </w:r>
      <w:r w:rsidRPr="00251DE6">
        <w:rPr>
          <w:rFonts w:ascii="Arial" w:hAnsi="Arial" w:cs="Arial"/>
          <w:szCs w:val="24"/>
        </w:rPr>
        <w:t xml:space="preserve">”. O Tribunal, então, ao acolher sua proposta, conheceu o agravo e negou provimento a esse recurso, para manter inalterada a referida medida cautelar. </w:t>
      </w:r>
      <w:r w:rsidRPr="00251DE6">
        <w:rPr>
          <w:rFonts w:ascii="Arial" w:hAnsi="Arial" w:cs="Arial"/>
          <w:b/>
          <w:i/>
          <w:szCs w:val="24"/>
        </w:rPr>
        <w:t xml:space="preserve">Acórdão n.º 897/2012-Plenário, TC </w:t>
      </w:r>
      <w:r w:rsidRPr="00251DE6">
        <w:rPr>
          <w:rFonts w:ascii="Arial" w:hAnsi="Arial" w:cs="Arial"/>
          <w:b/>
          <w:i/>
          <w:szCs w:val="24"/>
          <w:lang w:eastAsia="pt-BR"/>
        </w:rPr>
        <w:t>003.818/2012-8</w:t>
      </w:r>
      <w:r w:rsidRPr="00251DE6">
        <w:rPr>
          <w:rFonts w:ascii="Arial" w:hAnsi="Arial" w:cs="Arial"/>
          <w:b/>
          <w:i/>
          <w:szCs w:val="24"/>
        </w:rPr>
        <w:t>, rel. Min. José Jorge, 18.4.2012.</w:t>
      </w:r>
    </w:p>
    <w:p w:rsidR="007E3274" w:rsidRDefault="007E3274" w:rsidP="0068243F">
      <w:pPr>
        <w:spacing w:line="360" w:lineRule="auto"/>
        <w:rPr>
          <w:rFonts w:ascii="Arial" w:hAnsi="Arial" w:cs="Arial"/>
          <w:color w:val="FF0000"/>
          <w:sz w:val="24"/>
          <w:szCs w:val="24"/>
        </w:rPr>
      </w:pPr>
    </w:p>
    <w:p w:rsidR="0068243F" w:rsidRDefault="0068243F" w:rsidP="0068243F">
      <w:pPr>
        <w:spacing w:line="360" w:lineRule="auto"/>
        <w:jc w:val="center"/>
        <w:rPr>
          <w:rFonts w:ascii="Arial" w:hAnsi="Arial" w:cs="Arial"/>
          <w:color w:val="FF0000"/>
          <w:sz w:val="24"/>
          <w:szCs w:val="24"/>
        </w:rPr>
      </w:pPr>
      <w:r>
        <w:rPr>
          <w:rFonts w:ascii="Arial" w:hAnsi="Arial" w:cs="Arial"/>
          <w:color w:val="FF0000"/>
          <w:sz w:val="24"/>
          <w:szCs w:val="24"/>
        </w:rPr>
        <w:t>103</w:t>
      </w:r>
    </w:p>
    <w:p w:rsidR="0068243F" w:rsidRDefault="0068243F" w:rsidP="0068243F">
      <w:pPr>
        <w:pStyle w:val="Default"/>
        <w:spacing w:line="360" w:lineRule="auto"/>
        <w:jc w:val="both"/>
        <w:rPr>
          <w:rFonts w:ascii="Arial" w:hAnsi="Arial" w:cs="Arial"/>
          <w:b/>
          <w:color w:val="auto"/>
        </w:rPr>
      </w:pPr>
      <w:r w:rsidRPr="0068243F">
        <w:rPr>
          <w:rFonts w:ascii="Arial" w:hAnsi="Arial" w:cs="Arial"/>
          <w:b/>
          <w:color w:val="auto"/>
        </w:rPr>
        <w:t>A perda da regularidade fiscal no curso de contratos de execução continuada ou parcelada justifica a imposição de sanções à contratada, mas não autoriza a retenção de pagamentos por serviços prestados</w:t>
      </w:r>
    </w:p>
    <w:p w:rsidR="0068243F" w:rsidRPr="0068243F" w:rsidRDefault="0068243F" w:rsidP="0068243F">
      <w:pPr>
        <w:pStyle w:val="Default"/>
        <w:spacing w:line="360" w:lineRule="auto"/>
        <w:jc w:val="both"/>
        <w:rPr>
          <w:rFonts w:ascii="Arial" w:hAnsi="Arial" w:cs="Arial"/>
          <w:b/>
          <w:color w:val="auto"/>
        </w:rPr>
      </w:pPr>
    </w:p>
    <w:p w:rsidR="0068243F" w:rsidRPr="0068243F" w:rsidRDefault="0068243F" w:rsidP="0068243F">
      <w:pPr>
        <w:pStyle w:val="TCU-Ac-item9-"/>
        <w:spacing w:line="360" w:lineRule="auto"/>
        <w:ind w:firstLine="0"/>
        <w:rPr>
          <w:rFonts w:ascii="Arial" w:hAnsi="Arial" w:cs="Arial"/>
          <w:b/>
          <w:i/>
          <w:szCs w:val="24"/>
        </w:rPr>
      </w:pPr>
      <w:r w:rsidRPr="0068243F">
        <w:rPr>
          <w:rFonts w:ascii="Arial" w:hAnsi="Arial" w:cs="Arial"/>
          <w:szCs w:val="24"/>
        </w:rPr>
        <w:t>Consulta formulada pelo Ministério da Saúde suscitou possível divergência entre o Parecer da Procuradoria Geral da Fazenda Nacional (PGFN) 401/2000 e a Decisão nº 705/1994 – Plenário do TCU, relativamente à legalidade de pagamento a fornecedores em débito com o sistema da seguridade social que constem do Sistema de Cadastramento Unificado de Fornecedores (Sicaf).  A consulente registra a expedição, pelo Ministério do Planejamento, Orçamento e Gestão de orientação baseada no Parecer 401/2000 da PGFN, no sentido de que “</w:t>
      </w:r>
      <w:r w:rsidRPr="0068243F">
        <w:rPr>
          <w:rFonts w:ascii="Arial" w:hAnsi="Arial" w:cs="Arial"/>
          <w:i/>
          <w:szCs w:val="24"/>
        </w:rPr>
        <w:t>os bens e serviços efetivamente entregues ou realizados devem ser pagos, ainda que constem irregularidades no Sicaf</w:t>
      </w:r>
      <w:r w:rsidRPr="0068243F">
        <w:rPr>
          <w:rFonts w:ascii="Arial" w:hAnsi="Arial" w:cs="Arial"/>
          <w:szCs w:val="24"/>
        </w:rPr>
        <w:t>”. Tal orientação, em seu entendimento, colidiria com a referida decisão, por meio do qual o Tribunal firmou o entendimento de que os órgãos e as entidades da Administração Pública Federal devem exigir, nos contratos de execução continuada ou parcelada, a comprovação, por parte da contratada, da regularidade fiscal, incluindo a da seguridade social. O relator, ao endossar o raciocínio e conclusões do diretor de unidade técnica, ressaltou a necessidade de os órgãos e entidade da Administração Pública Federal incluírem, “</w:t>
      </w:r>
      <w:r w:rsidRPr="0068243F">
        <w:rPr>
          <w:rFonts w:ascii="Arial" w:hAnsi="Arial" w:cs="Arial"/>
          <w:i/>
          <w:szCs w:val="24"/>
        </w:rPr>
        <w:t>nos editais e contratos de execução continuada ou parcelada, cláusula que estabeleça a obrigação do contratado de manter, durante a execução do contrato, todas as condições de habilitação e qualificação exigidas na licitação</w:t>
      </w:r>
      <w:r w:rsidRPr="0068243F">
        <w:rPr>
          <w:rFonts w:ascii="Arial" w:hAnsi="Arial" w:cs="Arial"/>
          <w:szCs w:val="24"/>
        </w:rPr>
        <w:t>”, além das sanções resultantes de seu descumprimento. Acrescentou que a falta de comprovação da regularidade fiscal e o descumprimento de cláusulas contratuais “</w:t>
      </w:r>
      <w:r w:rsidRPr="0068243F">
        <w:rPr>
          <w:rFonts w:ascii="Arial" w:hAnsi="Arial" w:cs="Arial"/>
          <w:i/>
          <w:szCs w:val="24"/>
        </w:rPr>
        <w:t>podem motivar a rescisão contratual, a execução da garantia para ressarcimento dos valores e indenizações devidos à Administração e a aplicação das penalidades previstas no art. 87 da Lei nº 8.666/93, mas não a retenção do pagamento</w:t>
      </w:r>
      <w:r w:rsidRPr="0068243F">
        <w:rPr>
          <w:rFonts w:ascii="Arial" w:hAnsi="Arial" w:cs="Arial"/>
          <w:szCs w:val="24"/>
        </w:rPr>
        <w:t xml:space="preserve">”. Caso contrário estaria a Administração incorrendo em enriquecimento sem causa. Observou, também, que a retenção de pagamento ofende o princípio da legalidade por não constar do rol do art. 87 da Lei nº 8.666/93. O Tribunal, então, decidiu responder à consulente que os órgãos e entidades da Administração Pública Federal devem: a) “... </w:t>
      </w:r>
      <w:r w:rsidRPr="0068243F">
        <w:rPr>
          <w:rFonts w:ascii="Arial" w:hAnsi="Arial" w:cs="Arial"/>
          <w:i/>
          <w:szCs w:val="24"/>
        </w:rPr>
        <w:t>exigir, nos contratos de execução continuada ou parcelada, a comprovação, por parte da contratada, da regularidade fiscal, incluindo a seguridade social, sob pena de violação do disposto no § 3º do art. 195 da Constituição Federal</w:t>
      </w:r>
      <w:r w:rsidRPr="0068243F">
        <w:rPr>
          <w:rFonts w:ascii="Arial" w:hAnsi="Arial" w:cs="Arial"/>
          <w:szCs w:val="24"/>
        </w:rPr>
        <w:t xml:space="preserve">”; b) “... </w:t>
      </w:r>
      <w:r w:rsidRPr="0068243F">
        <w:rPr>
          <w:rFonts w:ascii="Arial" w:hAnsi="Arial" w:cs="Arial"/>
          <w:i/>
          <w:szCs w:val="24"/>
        </w:rPr>
        <w:t>incluir, nos editais e contratos de execução continuada ou parcelada, cláusula que estabeleça a obrigação do contratado de manter, durante a integral execução do contrato, todas as condições de habilitação e qualificação exigidas na licitação, prevendo, como sanções para o inadimplemento a essa cláusula, a rescisão do contrato e a execução da garantia para ressarcimento dos valores e indenizações devidos à Administração, além das penalidades já previstas em lei (arts. 55, inciso XIII, 78, inciso I, 80, inciso III, e 87, da Lei nº 8.666/93)</w:t>
      </w:r>
      <w:r w:rsidRPr="0068243F">
        <w:rPr>
          <w:rFonts w:ascii="Arial" w:hAnsi="Arial" w:cs="Arial"/>
          <w:szCs w:val="24"/>
        </w:rPr>
        <w:t xml:space="preserve">”. </w:t>
      </w:r>
      <w:r w:rsidRPr="0068243F">
        <w:rPr>
          <w:rFonts w:ascii="Arial" w:hAnsi="Arial" w:cs="Arial"/>
          <w:b/>
          <w:i/>
          <w:szCs w:val="24"/>
        </w:rPr>
        <w:t>Acórdão n.º 964/2012-Plenário, TC 017.371/2011-2, rel. Min. Walton Alencar Rodrigues, 25.4.2012.</w:t>
      </w:r>
    </w:p>
    <w:p w:rsidR="0068243F" w:rsidRPr="0068243F" w:rsidRDefault="0068243F" w:rsidP="0068243F">
      <w:pPr>
        <w:pStyle w:val="TCU-RelVoto-1"/>
        <w:spacing w:after="0" w:line="360" w:lineRule="auto"/>
        <w:ind w:firstLine="0"/>
        <w:rPr>
          <w:rFonts w:ascii="Arial" w:hAnsi="Arial" w:cs="Arial"/>
          <w:szCs w:val="24"/>
        </w:rPr>
      </w:pPr>
    </w:p>
    <w:p w:rsidR="0068243F" w:rsidRDefault="0068243F" w:rsidP="0068243F">
      <w:pPr>
        <w:pStyle w:val="TCU-Ac-item9-"/>
        <w:spacing w:line="360" w:lineRule="auto"/>
        <w:ind w:firstLine="0"/>
        <w:rPr>
          <w:rFonts w:ascii="Arial" w:hAnsi="Arial" w:cs="Arial"/>
          <w:b/>
          <w:szCs w:val="24"/>
        </w:rPr>
      </w:pPr>
      <w:r w:rsidRPr="0068243F">
        <w:rPr>
          <w:rFonts w:ascii="Arial" w:hAnsi="Arial" w:cs="Arial"/>
          <w:b/>
          <w:szCs w:val="24"/>
        </w:rPr>
        <w:t xml:space="preserve">A anulação de certame licitatório pela Administração, em razão de vícios graves identificados em fiscalização do Tribunal, não isenta os responsáveis de apenação, mesmo quando tal anulação seja implementada antes de deliberação definitiva do Tribunal </w:t>
      </w:r>
    </w:p>
    <w:p w:rsidR="0068243F" w:rsidRPr="0068243F" w:rsidRDefault="0068243F" w:rsidP="0068243F">
      <w:pPr>
        <w:pStyle w:val="TCU-Ac-item9-"/>
        <w:spacing w:line="360" w:lineRule="auto"/>
        <w:ind w:firstLine="0"/>
        <w:rPr>
          <w:rFonts w:ascii="Arial" w:hAnsi="Arial" w:cs="Arial"/>
          <w:b/>
          <w:szCs w:val="24"/>
        </w:rPr>
      </w:pPr>
    </w:p>
    <w:p w:rsidR="0068243F" w:rsidRPr="0068243F" w:rsidRDefault="0068243F" w:rsidP="0068243F">
      <w:pPr>
        <w:pStyle w:val="TCU-Ac-item9-"/>
        <w:spacing w:line="360" w:lineRule="auto"/>
        <w:ind w:firstLine="0"/>
        <w:rPr>
          <w:rFonts w:ascii="Arial" w:hAnsi="Arial" w:cs="Arial"/>
          <w:b/>
          <w:i/>
          <w:szCs w:val="24"/>
        </w:rPr>
      </w:pPr>
      <w:r w:rsidRPr="0068243F">
        <w:rPr>
          <w:rFonts w:ascii="Arial" w:hAnsi="Arial" w:cs="Arial"/>
          <w:color w:val="FF0000"/>
          <w:szCs w:val="24"/>
        </w:rPr>
        <w:t>Auditoria realizada nas obras de construção da Barragem</w:t>
      </w:r>
      <w:r w:rsidRPr="0068243F">
        <w:rPr>
          <w:rFonts w:ascii="Arial" w:hAnsi="Arial" w:cs="Arial"/>
          <w:szCs w:val="24"/>
        </w:rPr>
        <w:t xml:space="preserve"> de Oiticica, no município de Jucurutu/RN (Fiscobras 2011), apontou indícios de irregularidades na condução da Concorrência 20/2010-Semarh e, por consequência, no Contrato 39/2010, firmado entre a Secretaria de Estado do Meio Ambiente e dos Recursos Hídricos do Estado do Rio Grande do Norte (Semarh/RN) e o Consórcio EIT/Encalso. Em face de tais indícios, o Tribunal decidira suspender cautelarmente a execução do citado contrato. Promovidas oitivas e audiências dos responsáveis, considerou o relator, ao respaldar análise da unidade técnica, que restou demonstrado: a) sobrepreço em diversos itens de serviços; b) restrição à competitividade na Concorrência 20/2010, em decorrência de critérios inadequados de habilitação e julgamento (exigência excessiva de execução de quantitativos mínimos e de quantitativos mínimos de serviços irrelevantes; exigência de número máximo de atestados para comprovar a execução de quantitativos mínimos; exigência de comprovação de vínculo empregatício de profissionais por meio de Carteira de Trabalho e Previdência Social); c) ausência das composições analíticas dos serviços da obra, com violação ao art. 7º, § 2º, inciso II da Lei 8.666/1993 e à jurisprudência do TCU, revelada pela Súmula 258 do Tribunal. O relator, então, a despeito de haver a Semarh/RN, posteriormente à identificação dos vícios acima relacionados, anulado a Concorrência 20/2010, anotou que esse fato “</w:t>
      </w:r>
      <w:r w:rsidRPr="0068243F">
        <w:rPr>
          <w:rFonts w:ascii="Arial" w:hAnsi="Arial" w:cs="Arial"/>
          <w:i/>
          <w:szCs w:val="24"/>
        </w:rPr>
        <w:t>não tem o condão de eliminar do mundo jurídico as irregularidades perpetradas pelos gestores, por ocasião da condução daquele certame, persistindo os fundamentos de aplicação de multa aos responsáveis para as irregularidades cujas razões de justificativa foram rejeitadas</w:t>
      </w:r>
      <w:r w:rsidRPr="0068243F">
        <w:rPr>
          <w:rFonts w:ascii="Arial" w:hAnsi="Arial" w:cs="Arial"/>
          <w:szCs w:val="24"/>
        </w:rPr>
        <w:t>”. O Tribunal, então, ao acolher proposta do relator, decidiu apenar os seguintes gestores da Semarh/RN: a) s</w:t>
      </w:r>
      <w:r w:rsidRPr="0068243F">
        <w:rPr>
          <w:rFonts w:ascii="Arial" w:hAnsi="Arial" w:cs="Arial"/>
          <w:szCs w:val="24"/>
          <w:lang w:eastAsia="pt-BR"/>
        </w:rPr>
        <w:t xml:space="preserve">ubcoordenador de obras, por ter elaborado e aprovado o orçamento que serviu de base à Concorrência 20/2010; b) subcoordenador de estudos e projetos, por ter elaborado o termo de referência contendo cláusulas restritivas e por ter elaborado e aprovado o orçamento-base da licitação sem as composições analíticas de todos os seus custos unitários; c) coordenador de infraestrutura, por não coordenar e supervisionar de forma adequada a elaboração do termo de referência e do orçamento-base da Concorrência 20/2010. </w:t>
      </w:r>
      <w:r w:rsidRPr="0068243F">
        <w:rPr>
          <w:rFonts w:ascii="Arial" w:hAnsi="Arial" w:cs="Arial"/>
          <w:b/>
          <w:i/>
          <w:szCs w:val="24"/>
        </w:rPr>
        <w:t>Acórdão n.º 968/2012-Plenário, TC 002.575/2011-6, rel. Min. Aroldo Cedraz, 25.4.2012.</w:t>
      </w:r>
    </w:p>
    <w:p w:rsidR="0068243F" w:rsidRDefault="0068243F" w:rsidP="0068243F">
      <w:pPr>
        <w:spacing w:line="360" w:lineRule="auto"/>
        <w:jc w:val="both"/>
        <w:rPr>
          <w:rFonts w:ascii="Arial" w:hAnsi="Arial" w:cs="Arial"/>
          <w:color w:val="FF0000"/>
          <w:sz w:val="24"/>
          <w:szCs w:val="24"/>
        </w:rPr>
      </w:pPr>
    </w:p>
    <w:p w:rsidR="0068243F" w:rsidRDefault="0068243F" w:rsidP="0068243F">
      <w:pPr>
        <w:spacing w:line="360" w:lineRule="auto"/>
        <w:jc w:val="both"/>
        <w:rPr>
          <w:rFonts w:ascii="Arial" w:hAnsi="Arial" w:cs="Arial"/>
          <w:color w:val="FF0000"/>
          <w:sz w:val="24"/>
          <w:szCs w:val="24"/>
        </w:rPr>
      </w:pPr>
    </w:p>
    <w:p w:rsidR="0068243F" w:rsidRDefault="0068243F" w:rsidP="0068243F">
      <w:pPr>
        <w:pStyle w:val="Default"/>
        <w:spacing w:line="360" w:lineRule="auto"/>
        <w:jc w:val="both"/>
        <w:rPr>
          <w:rFonts w:ascii="Arial" w:hAnsi="Arial" w:cs="Arial"/>
          <w:b/>
          <w:color w:val="auto"/>
        </w:rPr>
      </w:pPr>
      <w:r w:rsidRPr="0068243F">
        <w:rPr>
          <w:rFonts w:ascii="Arial" w:hAnsi="Arial" w:cs="Arial"/>
          <w:b/>
          <w:color w:val="auto"/>
        </w:rPr>
        <w:t>A subcontratação integral do objeto pactuado desnatura o certame licitatório e justifica a apenação do agente que a autorizou</w:t>
      </w:r>
    </w:p>
    <w:p w:rsidR="0068243F" w:rsidRPr="0068243F" w:rsidRDefault="0068243F" w:rsidP="0068243F">
      <w:pPr>
        <w:pStyle w:val="Default"/>
        <w:spacing w:line="360" w:lineRule="auto"/>
        <w:jc w:val="both"/>
        <w:rPr>
          <w:rFonts w:ascii="Arial" w:hAnsi="Arial" w:cs="Arial"/>
          <w:b/>
          <w:color w:val="auto"/>
        </w:rPr>
      </w:pPr>
    </w:p>
    <w:p w:rsidR="0068243F" w:rsidRPr="0068243F" w:rsidRDefault="0068243F" w:rsidP="0068243F">
      <w:pPr>
        <w:pStyle w:val="Default"/>
        <w:spacing w:line="360" w:lineRule="auto"/>
        <w:jc w:val="both"/>
        <w:rPr>
          <w:rFonts w:ascii="Arial" w:hAnsi="Arial" w:cs="Arial"/>
          <w:b/>
          <w:bCs/>
          <w:i/>
          <w:smallCaps/>
        </w:rPr>
      </w:pPr>
      <w:r w:rsidRPr="0068243F">
        <w:rPr>
          <w:rFonts w:ascii="Arial" w:hAnsi="Arial" w:cs="Arial"/>
        </w:rPr>
        <w:t>Tomada de contas especial apurou indícios de dano ao erário e de outras irregularidades praticadas no âmbito da Superintendência Regional do Departamento Nacional de Infraestrutura de Transportes em Rondônia – Dnit/RO, durante a condução das obras de restauração de três trechos da BR-364/RO. O relator, ao acompanhar o MP/TCU, considerou que as alegações de defesas apresentadas pelos responsáveis demonstraram a inexistência de débito. Remanesceu, porém, não justificada a subcontratação integral pela Construtora Queiroz Galvão S/A da Construtora Castilho S/A para execução dos serviços objeto do Contrato PG-210/99-00, que abrangia o subtrecho Ponte do Rio Preto (km 568,8) a Candeias do Jamari (km 700,6). Quanto a esse aspecto, o MP/TCU ressaltou que o art. 78, inciso VI, da Lei 8.666/1993, “</w:t>
      </w:r>
      <w:r w:rsidRPr="0068243F">
        <w:rPr>
          <w:rFonts w:ascii="Arial" w:hAnsi="Arial" w:cs="Arial"/>
          <w:i/>
        </w:rPr>
        <w:t>estabelece como causa de rescisão contratual a subcontratação de objeto ajustado com a Administração não admitida no contrato e no edital</w:t>
      </w:r>
      <w:r w:rsidRPr="0068243F">
        <w:rPr>
          <w:rFonts w:ascii="Arial" w:hAnsi="Arial" w:cs="Arial"/>
        </w:rPr>
        <w:t>”. Anotou, também, que a subcontratação somente é possível, nos termos do art. 72 da citada lei, “</w:t>
      </w:r>
      <w:r w:rsidRPr="0068243F">
        <w:rPr>
          <w:rFonts w:ascii="Arial" w:hAnsi="Arial" w:cs="Arial"/>
          <w:i/>
        </w:rPr>
        <w:t>até o limite admitido, em cada caso, pela Administração</w:t>
      </w:r>
      <w:r w:rsidRPr="0068243F">
        <w:rPr>
          <w:rFonts w:ascii="Arial" w:hAnsi="Arial" w:cs="Arial"/>
        </w:rPr>
        <w:t>”. E mais: “</w:t>
      </w:r>
      <w:r w:rsidRPr="0068243F">
        <w:rPr>
          <w:rFonts w:ascii="Arial" w:hAnsi="Arial" w:cs="Arial"/>
          <w:i/>
        </w:rPr>
        <w:t>A subcontratação integral do objeto ajustado desnatura o certame licitatório destinado à contratação inicial e é repudiada pelo TCU, nos termos da jurisprudência ...</w:t>
      </w:r>
      <w:r w:rsidRPr="0068243F">
        <w:rPr>
          <w:rFonts w:ascii="Arial" w:hAnsi="Arial" w:cs="Arial"/>
        </w:rPr>
        <w:t xml:space="preserve">”. O relator endossou as conclusões do MP/TCU, no sentido de que o gestor responsável por autorizar a referida subcontratação merecia ser apenado. O Tribunal, então, ao acolher sua proposta, decidiu aplicar ao responsável multa do art. 58, inciso II, no valor de R$ 5.000,00. Precedentes mencionados: Acórdãos 100/2004-TCU e 1748/2004-TCU, ambos do Plenário. </w:t>
      </w:r>
      <w:r w:rsidRPr="0068243F">
        <w:rPr>
          <w:rFonts w:ascii="Arial" w:hAnsi="Arial" w:cs="Arial"/>
          <w:b/>
          <w:i/>
        </w:rPr>
        <w:t>Acórdão n.º 954/2012-Plenário, TC 006.095/2004-4, rel. Min. Ana Arraes, 25.4.2012.</w:t>
      </w:r>
      <w:r w:rsidRPr="0068243F">
        <w:rPr>
          <w:rFonts w:ascii="Arial" w:hAnsi="Arial" w:cs="Arial"/>
          <w:b/>
          <w:bCs/>
          <w:i/>
          <w:smallCaps/>
        </w:rPr>
        <w:t xml:space="preserve"> </w:t>
      </w:r>
    </w:p>
    <w:p w:rsidR="0068243F" w:rsidRDefault="0068243F" w:rsidP="0068243F">
      <w:pPr>
        <w:spacing w:line="360" w:lineRule="auto"/>
        <w:jc w:val="both"/>
        <w:rPr>
          <w:rFonts w:ascii="Arial" w:hAnsi="Arial" w:cs="Arial"/>
          <w:color w:val="FF0000"/>
          <w:sz w:val="24"/>
          <w:szCs w:val="24"/>
        </w:rPr>
      </w:pPr>
    </w:p>
    <w:p w:rsidR="0068243F" w:rsidRDefault="0068243F" w:rsidP="0068243F">
      <w:pPr>
        <w:spacing w:line="360" w:lineRule="auto"/>
        <w:jc w:val="center"/>
        <w:rPr>
          <w:rFonts w:ascii="Arial" w:hAnsi="Arial" w:cs="Arial"/>
          <w:color w:val="FF0000"/>
          <w:sz w:val="24"/>
          <w:szCs w:val="24"/>
        </w:rPr>
      </w:pPr>
      <w:r>
        <w:rPr>
          <w:rFonts w:ascii="Arial" w:hAnsi="Arial" w:cs="Arial"/>
          <w:color w:val="FF0000"/>
          <w:sz w:val="24"/>
          <w:szCs w:val="24"/>
        </w:rPr>
        <w:t>104</w:t>
      </w:r>
    </w:p>
    <w:p w:rsidR="0068243F" w:rsidRDefault="0068243F" w:rsidP="0068243F">
      <w:pPr>
        <w:pStyle w:val="Default"/>
        <w:jc w:val="both"/>
        <w:rPr>
          <w:rFonts w:ascii="Arial" w:hAnsi="Arial" w:cs="Arial"/>
          <w:b/>
          <w:color w:val="auto"/>
        </w:rPr>
      </w:pPr>
      <w:r w:rsidRPr="0068243F">
        <w:rPr>
          <w:rFonts w:ascii="Arial" w:hAnsi="Arial" w:cs="Arial"/>
          <w:b/>
          <w:color w:val="auto"/>
        </w:rPr>
        <w:t>Acompanhamento das obras para a Copa do Mundo: 1 - As obras que têm por objetivo viabilizar a Copa do Mundo de 2014 somente podem ser licitadas e contratadas sob o Regime Diferenciado de Contratação Pública, instituído pela Lei 12.462/2011, caso possam ser concluídas anteriormente ao início do evento</w:t>
      </w:r>
    </w:p>
    <w:p w:rsidR="0068243F" w:rsidRPr="0068243F" w:rsidRDefault="0068243F" w:rsidP="0068243F">
      <w:pPr>
        <w:pStyle w:val="Default"/>
        <w:jc w:val="both"/>
        <w:rPr>
          <w:rFonts w:ascii="Arial" w:hAnsi="Arial" w:cs="Arial"/>
          <w:b/>
          <w:color w:val="auto"/>
        </w:rPr>
      </w:pPr>
    </w:p>
    <w:p w:rsidR="0068243F" w:rsidRPr="0068243F" w:rsidRDefault="0068243F" w:rsidP="0068243F">
      <w:pPr>
        <w:pStyle w:val="Default"/>
        <w:jc w:val="both"/>
        <w:rPr>
          <w:rFonts w:ascii="Arial" w:hAnsi="Arial" w:cs="Arial"/>
          <w:b/>
          <w:color w:val="auto"/>
        </w:rPr>
      </w:pPr>
      <w:r w:rsidRPr="0068243F">
        <w:rPr>
          <w:rFonts w:ascii="Arial" w:hAnsi="Arial" w:cs="Arial"/>
          <w:color w:val="auto"/>
        </w:rPr>
        <w:t>Acompanhamento dos procedimentos adotados pela Caixa Econômica Federal (CAIXA) para a concessão de financiamentos destinados a obras de mobilidade urbana para a Copa do Mundo de Futebol de 2014 identificou o baixo volume de recursos já repassados para esse fim. Verificou-se que até março de 2012, somente 4,1% dos R$ 5,3,5 bilhões previstos haviam sido executados. Além dos impactos para a realização do citado evento, observou o relator que “</w:t>
      </w:r>
      <w:r w:rsidRPr="0068243F">
        <w:rPr>
          <w:rFonts w:ascii="Arial" w:hAnsi="Arial" w:cs="Arial"/>
          <w:i/>
          <w:color w:val="auto"/>
        </w:rPr>
        <w:t>existe um ‘regime de exceção’ para as obras da Copa, estabelecido tanto por meio do Regime Diferenciado de Contratação Pública (RDC), como da resolução do Senado Federal nº 43/2001</w:t>
      </w:r>
      <w:r w:rsidRPr="0068243F">
        <w:rPr>
          <w:rFonts w:ascii="Arial" w:hAnsi="Arial" w:cs="Arial"/>
          <w:color w:val="auto"/>
        </w:rPr>
        <w:t>”, a qual versa sobre os limites de endividamento dos entes da federação e das respectivas operações de crédito. Acrescentou que, por meio desses instrumentos, foram criadas “</w:t>
      </w:r>
      <w:r w:rsidRPr="0068243F">
        <w:rPr>
          <w:rFonts w:ascii="Arial" w:hAnsi="Arial" w:cs="Arial"/>
          <w:i/>
          <w:color w:val="auto"/>
        </w:rPr>
        <w:t>condições excepcionalíssimas</w:t>
      </w:r>
      <w:r w:rsidRPr="0068243F">
        <w:rPr>
          <w:rFonts w:ascii="Arial" w:hAnsi="Arial" w:cs="Arial"/>
          <w:color w:val="auto"/>
        </w:rPr>
        <w:t>” para viabilizar o Mundial de Futebol. Anotou, também, que o art. 1º da Lei 12.462/2011 delimita os empreendimentos que podem ser licitados e contratados sob esse regime especial. E mais: “</w:t>
      </w:r>
      <w:r w:rsidRPr="0068243F">
        <w:rPr>
          <w:rFonts w:ascii="Arial" w:hAnsi="Arial" w:cs="Arial"/>
          <w:i/>
          <w:color w:val="auto"/>
        </w:rPr>
        <w:t>Nos moldes do Decreto 7.581/2011, somente as obras incluídas na matriz de responsabilidades é que podem ser licitadas mediante o RDC</w:t>
      </w:r>
      <w:r w:rsidRPr="0068243F">
        <w:rPr>
          <w:rFonts w:ascii="Arial" w:hAnsi="Arial" w:cs="Arial"/>
          <w:color w:val="auto"/>
        </w:rPr>
        <w:t>”. Tendo em vista tal panorama fático e normativo, acrescentou, afigura-se necessária a atualização dessa matriz. “</w:t>
      </w:r>
      <w:r w:rsidRPr="0068243F">
        <w:rPr>
          <w:rFonts w:ascii="Arial" w:hAnsi="Arial" w:cs="Arial"/>
          <w:i/>
          <w:color w:val="auto"/>
        </w:rPr>
        <w:t xml:space="preserve">Mas não só incluindo ações; </w:t>
      </w:r>
      <w:r w:rsidRPr="0068243F">
        <w:rPr>
          <w:rFonts w:ascii="Arial" w:hAnsi="Arial" w:cs="Arial"/>
          <w:i/>
          <w:color w:val="auto"/>
          <w:u w:val="single"/>
        </w:rPr>
        <w:t>devem-se retirar aquelas obras que sabidamente não têm condições de ficarem prontas</w:t>
      </w:r>
      <w:r w:rsidRPr="0068243F">
        <w:rPr>
          <w:rFonts w:ascii="Arial" w:hAnsi="Arial" w:cs="Arial"/>
          <w:color w:val="auto"/>
        </w:rPr>
        <w:t>” – grifou-se. Em face desse contexto, ao acolher proposta do relator, o Tribunal decidiu: I) “</w:t>
      </w:r>
      <w:r w:rsidRPr="0068243F">
        <w:rPr>
          <w:rFonts w:ascii="Arial" w:hAnsi="Arial" w:cs="Arial"/>
          <w:i/>
          <w:color w:val="auto"/>
        </w:rPr>
        <w:t>alertar o Ministério do Esporte, o Ministério das Cidades, a Infraero, a Secretaria dos Portos, o Grupo Executivo da Copa do Mundo FIFA 2014 (...) e o Comitê Gestor da Copa do Mundo FIFA 2014 (...) que a utilização do Regime Diferenciado de Contratação Pública  (RDC) envolve, como pré-requisito, a necessidade de as ações objeto dos certames estarem concluídas anteriormente à Copa do Mundo de 2014, tal qual expressamente previsto no art. 1º da Lei 12.462/2011</w:t>
      </w:r>
      <w:r w:rsidRPr="0068243F">
        <w:rPr>
          <w:rFonts w:ascii="Arial" w:hAnsi="Arial" w:cs="Arial"/>
          <w:color w:val="auto"/>
        </w:rPr>
        <w:t xml:space="preserve">”; II) recomendar ao Grupo Executivo da Copa do Mundo FIFA 2014 e ao Comitê Gestor da Copa do Mundo FIFA 2014 que: a) estabeleçam prazo fatal para a apresentação dos projetos básicos aprovados das obras de mobilidade urbana constantes da matriz de responsabilidades para a Copa do Mundo de 2014; b) avaliem e critiquem os documentos apresentados e atualizem a matriz de responsabilidades para a Copa do Mundo de 2014, mantendo, unicamente, os empreendimentos cujos cronogramas forem previamente aprovados. </w:t>
      </w:r>
      <w:r w:rsidRPr="0068243F">
        <w:rPr>
          <w:rFonts w:ascii="Arial" w:hAnsi="Arial" w:cs="Arial"/>
          <w:b/>
          <w:i/>
          <w:color w:val="auto"/>
        </w:rPr>
        <w:t>Acórdão n.º 1036/2012-Plenário, TC 010.765/2010-7, rel. Min. Valmir Campelo, 2.5.2012.</w:t>
      </w:r>
    </w:p>
    <w:p w:rsidR="0068243F" w:rsidRPr="0068243F" w:rsidRDefault="0068243F" w:rsidP="0068243F">
      <w:pPr>
        <w:pStyle w:val="Default"/>
        <w:jc w:val="both"/>
        <w:rPr>
          <w:rFonts w:ascii="Arial" w:hAnsi="Arial" w:cs="Arial"/>
          <w:color w:val="auto"/>
        </w:rPr>
      </w:pPr>
    </w:p>
    <w:p w:rsidR="0068243F" w:rsidRDefault="0068243F" w:rsidP="0068243F">
      <w:pPr>
        <w:pStyle w:val="Default"/>
        <w:jc w:val="both"/>
        <w:rPr>
          <w:rFonts w:ascii="Arial" w:hAnsi="Arial" w:cs="Arial"/>
          <w:b/>
          <w:color w:val="auto"/>
        </w:rPr>
      </w:pPr>
      <w:r w:rsidRPr="0068243F">
        <w:rPr>
          <w:rFonts w:ascii="Arial" w:hAnsi="Arial" w:cs="Arial"/>
          <w:b/>
          <w:color w:val="auto"/>
        </w:rPr>
        <w:t xml:space="preserve">Acompanhamento das obras para a Copa do Mundo: 2 - A extrapolação do prazo limite para conclusão das obras para a Copa do Mundo de Futebol de 2014 pode implicar a perda das condições especiais de endividamento dos entes da Federação, estabelecidas pela Resolução do Senado Federal nº 43/2001, comprometendo o fluxo de recursos para os empreendimentos </w:t>
      </w:r>
    </w:p>
    <w:p w:rsidR="0068243F" w:rsidRPr="0068243F" w:rsidRDefault="0068243F" w:rsidP="0068243F">
      <w:pPr>
        <w:pStyle w:val="Default"/>
        <w:jc w:val="both"/>
        <w:rPr>
          <w:rFonts w:ascii="Arial" w:hAnsi="Arial" w:cs="Arial"/>
          <w:b/>
          <w:color w:val="auto"/>
        </w:rPr>
      </w:pPr>
    </w:p>
    <w:p w:rsidR="0068243F" w:rsidRPr="0068243F" w:rsidRDefault="0068243F" w:rsidP="0068243F">
      <w:pPr>
        <w:pStyle w:val="Default"/>
        <w:jc w:val="both"/>
        <w:rPr>
          <w:rFonts w:ascii="Arial" w:hAnsi="Arial" w:cs="Arial"/>
          <w:b/>
          <w:color w:val="auto"/>
        </w:rPr>
      </w:pPr>
      <w:r w:rsidRPr="0068243F">
        <w:rPr>
          <w:rFonts w:ascii="Arial" w:hAnsi="Arial" w:cs="Arial"/>
          <w:color w:val="auto"/>
        </w:rPr>
        <w:t>Ainda no âmbito do Acompanhamento dos procedimentos adotados pela Caixa Econômica Federal para a concessão de financiamentos destinados às obras de mobilidade urbana para a Copa do Mundo de Futebol de 2014, o relator enfatizou que a Resolução do Senado Federal nº 43/2001 estabeleceu regramento específico para os limites de endividamento dos entes da federação e para as respectivas operações de crédito. E mais: consoante disposto em seu art. 7º, § 3º, inciso IV, introduzido pela Resolução do Senado Federal n° 45/2001 – que regulamenta o art. 30 da Lei de Responsabilidade Fiscal, referente aos limites da dívida e das operações de crédito – “</w:t>
      </w:r>
      <w:r w:rsidRPr="0068243F">
        <w:rPr>
          <w:rFonts w:ascii="Arial" w:hAnsi="Arial" w:cs="Arial"/>
          <w:i/>
          <w:color w:val="auto"/>
        </w:rPr>
        <w:t>as contratações dos financiamentos das obras da Copa não são computadas nos limites de endividamento dos estados, municípios e do Distrito Federal</w:t>
      </w:r>
      <w:r w:rsidRPr="0068243F">
        <w:rPr>
          <w:rFonts w:ascii="Arial" w:hAnsi="Arial" w:cs="Arial"/>
          <w:color w:val="auto"/>
        </w:rPr>
        <w:t>”. Caso não existisse tal dispositivo, “</w:t>
      </w:r>
      <w:r w:rsidRPr="0068243F">
        <w:rPr>
          <w:rFonts w:ascii="Arial" w:hAnsi="Arial" w:cs="Arial"/>
          <w:i/>
          <w:color w:val="auto"/>
        </w:rPr>
        <w:t>muitos empréstimos poderiam não passar nas condições de enquadramento, em razão da ultrapassagem do teto admissível da dívida</w:t>
      </w:r>
      <w:r w:rsidRPr="0068243F">
        <w:rPr>
          <w:rFonts w:ascii="Arial" w:hAnsi="Arial" w:cs="Arial"/>
          <w:color w:val="auto"/>
        </w:rPr>
        <w:t>”. Pontuou ainda que a extrapolação dos prazos programados de realização das obras comprometeria o fluxo de recursos financeiros para conclusão dos empreendimentos. Em face desse contexto e ao acolher proposta do relator, o Tribunal decidiu, além das providências já explicitadas no tópico anterior deste Informativo, I) “</w:t>
      </w:r>
      <w:r w:rsidRPr="0068243F">
        <w:rPr>
          <w:rFonts w:ascii="Arial" w:hAnsi="Arial" w:cs="Arial"/>
          <w:i/>
          <w:color w:val="auto"/>
        </w:rPr>
        <w:t>alertar os governos dos estados e municípios sede da Copa do Mundo de 2014, bem como as respectivas assembleias estaduais e câmaras municipais que, em face da exclusão das obras destinadas ao financiamento de infraestrutura para a realização da Copa dos limites de endividamento estabelecidos na Resolução nº 43/2001 do Senado Federal, o término intempestivo desses empreendimentos, quando financiados pela Caixa Econômica Federal ou pelo BNDES, poderá ensejar o possível "desenquadramento" das operações financeiras, com a consequente interrupção do fluxo de recursos dos empréstimos para a finalização das obras</w:t>
      </w:r>
      <w:r w:rsidRPr="0068243F">
        <w:rPr>
          <w:rFonts w:ascii="Arial" w:hAnsi="Arial" w:cs="Arial"/>
          <w:color w:val="auto"/>
        </w:rPr>
        <w:t xml:space="preserve">”. </w:t>
      </w:r>
      <w:r w:rsidRPr="0068243F">
        <w:rPr>
          <w:rFonts w:ascii="Arial" w:hAnsi="Arial" w:cs="Arial"/>
          <w:b/>
          <w:i/>
          <w:color w:val="auto"/>
        </w:rPr>
        <w:t>Acórdão n.º 1036/2012-Plenário, TC 010.765/2010-7, rel. Min. Valmir Campelo, 2.5.2012.</w:t>
      </w:r>
    </w:p>
    <w:p w:rsidR="0068243F" w:rsidRDefault="0068243F" w:rsidP="0068243F">
      <w:pPr>
        <w:pStyle w:val="Default"/>
        <w:jc w:val="both"/>
        <w:rPr>
          <w:rFonts w:ascii="Arial" w:hAnsi="Arial" w:cs="Arial"/>
          <w:b/>
          <w:color w:val="auto"/>
        </w:rPr>
      </w:pPr>
    </w:p>
    <w:p w:rsidR="0068243F" w:rsidRPr="0068243F" w:rsidRDefault="0068243F" w:rsidP="0068243F">
      <w:pPr>
        <w:pStyle w:val="Default"/>
        <w:jc w:val="both"/>
        <w:rPr>
          <w:rFonts w:ascii="Arial" w:hAnsi="Arial" w:cs="Arial"/>
          <w:b/>
          <w:color w:val="auto"/>
        </w:rPr>
      </w:pPr>
    </w:p>
    <w:p w:rsidR="0068243F" w:rsidRDefault="0068243F" w:rsidP="0068243F">
      <w:pPr>
        <w:pStyle w:val="TCU-Ac-itens1a8"/>
        <w:rPr>
          <w:rFonts w:ascii="Arial" w:hAnsi="Arial" w:cs="Arial"/>
          <w:b/>
        </w:rPr>
      </w:pPr>
    </w:p>
    <w:p w:rsidR="0068243F" w:rsidRPr="0068243F" w:rsidRDefault="0068243F" w:rsidP="0068243F">
      <w:pPr>
        <w:pStyle w:val="TCU-Ac-itens1a8"/>
        <w:rPr>
          <w:rFonts w:ascii="Arial" w:hAnsi="Arial" w:cs="Arial"/>
          <w:b/>
        </w:rPr>
      </w:pPr>
    </w:p>
    <w:p w:rsidR="0068243F" w:rsidRDefault="0068243F" w:rsidP="0068243F">
      <w:pPr>
        <w:pStyle w:val="TCU-Ac-itens1a8"/>
        <w:rPr>
          <w:rFonts w:ascii="Arial" w:hAnsi="Arial" w:cs="Arial"/>
          <w:b/>
        </w:rPr>
      </w:pPr>
      <w:r w:rsidRPr="0068243F">
        <w:rPr>
          <w:rFonts w:ascii="Arial" w:hAnsi="Arial" w:cs="Arial"/>
          <w:b/>
        </w:rPr>
        <w:t>Contratação de projetos de obra pública: 1 - É ilícita a exigência de número mínimo de atestados de capacidade técnica, assim como a fixação de quantitativo mínimo nesses atestados superior a 50% dos quantitativos dos bens ou serviços pretendidos, a não ser que a especificidade do objeto recomende o estabelecimento de tais requisitos</w:t>
      </w:r>
    </w:p>
    <w:p w:rsidR="0068243F" w:rsidRPr="0068243F" w:rsidRDefault="0068243F" w:rsidP="0068243F">
      <w:pPr>
        <w:pStyle w:val="TCU-Ac-itens1a8"/>
        <w:rPr>
          <w:rFonts w:ascii="Arial" w:hAnsi="Arial" w:cs="Arial"/>
          <w:b/>
        </w:rPr>
      </w:pPr>
      <w:r w:rsidRPr="0068243F">
        <w:rPr>
          <w:rFonts w:ascii="Arial" w:hAnsi="Arial" w:cs="Arial"/>
          <w:b/>
        </w:rPr>
        <w:t xml:space="preserve"> </w:t>
      </w:r>
    </w:p>
    <w:p w:rsidR="0068243F" w:rsidRPr="0068243F" w:rsidRDefault="0068243F" w:rsidP="0068243F">
      <w:pPr>
        <w:pStyle w:val="TCU-Ac-itens1a8"/>
        <w:rPr>
          <w:rFonts w:ascii="Arial" w:hAnsi="Arial" w:cs="Arial"/>
          <w:b/>
          <w:i/>
        </w:rPr>
      </w:pPr>
      <w:r w:rsidRPr="0068243F">
        <w:rPr>
          <w:rFonts w:ascii="Arial" w:hAnsi="Arial" w:cs="Arial"/>
        </w:rPr>
        <w:t xml:space="preserve">Representação formulada por empresa acusou possíveis irregularidades no edital da Tomada de Preços n. 05/2011, do tipo técnica e preço, promovida pelo Conselho Regional de Corretores de Imóveis da 2ª Região – Creci/SP, que tem por objeto a contratação de serviços de elaboração de projetos de execução da obra de reforma e adaptação da sede da entidade. O relator, em consonância com a unidade técnica, considerou configurada ilicitude nos requisitos para demonstração de capacitação técnica das licitantes. O edital exigiu a apresentação de </w:t>
      </w:r>
      <w:r w:rsidRPr="0068243F">
        <w:rPr>
          <w:rFonts w:ascii="Arial" w:hAnsi="Arial" w:cs="Arial"/>
          <w:u w:val="single"/>
        </w:rPr>
        <w:t>dois atestados ou declarações de capacidade técnica</w:t>
      </w:r>
      <w:r w:rsidRPr="0068243F">
        <w:rPr>
          <w:rFonts w:ascii="Arial" w:hAnsi="Arial" w:cs="Arial"/>
        </w:rPr>
        <w:t>, devendo, cada um deles, conter “</w:t>
      </w:r>
      <w:r w:rsidRPr="0068243F">
        <w:rPr>
          <w:rFonts w:ascii="Arial" w:hAnsi="Arial" w:cs="Arial"/>
          <w:i/>
        </w:rPr>
        <w:t>quantitativos mínimos de serviços de elaboração de projeto arquitetônico, compatíveis e pertinentes com o objeto da licitação (8.000 a 12.000 m²), com área construída não inferior a 4.000 m²</w:t>
      </w:r>
      <w:r w:rsidRPr="0068243F">
        <w:rPr>
          <w:rFonts w:ascii="Arial" w:hAnsi="Arial" w:cs="Arial"/>
        </w:rPr>
        <w:t>”. Ressaltou que a jurisprudência do Tribunal aponta no sentido de que “</w:t>
      </w:r>
      <w:r w:rsidRPr="0068243F">
        <w:rPr>
          <w:rFonts w:ascii="Arial" w:hAnsi="Arial" w:cs="Arial"/>
          <w:i/>
        </w:rPr>
        <w:t>a Administração Pública deve se abster de estabelecer número mínimo de atestados de capacidade técnica, a não ser que a especificidade do objeto o recomende, situação em que os motivos de fato e de direito deverão estar devidamente explicitados no processo administrativo da licitação</w:t>
      </w:r>
      <w:r w:rsidRPr="0068243F">
        <w:rPr>
          <w:rFonts w:ascii="Arial" w:hAnsi="Arial" w:cs="Arial"/>
        </w:rPr>
        <w:t>”. Asseverou que, no caso concreto, tal circunstância não restou evidenciada. Além disso, a citada exigência demandava a comprovação de prévia elaboração de projetos para área de cerca de 8.000 m², que é “</w:t>
      </w:r>
      <w:r w:rsidRPr="0068243F">
        <w:rPr>
          <w:rFonts w:ascii="Arial" w:hAnsi="Arial" w:cs="Arial"/>
          <w:i/>
        </w:rPr>
        <w:t>bem superior ao limite de 50% da área construída objeto da licitação</w:t>
      </w:r>
      <w:r w:rsidRPr="0068243F">
        <w:rPr>
          <w:rFonts w:ascii="Arial" w:hAnsi="Arial" w:cs="Arial"/>
        </w:rPr>
        <w:t>”. Também por esse motivo, ao endossar proposta do relator, decidiu o Tribunal: I) fixar prazo ao Creci/SP para que adote providências com vistas a anular a Tomada de Preços n. 05/2011; II) determinar ao Creci/SP que “</w:t>
      </w:r>
      <w:r w:rsidRPr="0068243F">
        <w:rPr>
          <w:rFonts w:ascii="Arial" w:hAnsi="Arial" w:cs="Arial"/>
          <w:i/>
        </w:rPr>
        <w:t>abstenha-se de exigir número mínimo de atestados de capacidade técnica, bem como a fixação de quantitativo mínimo nesses atestados superior a 50% (...) dos quantitativos dos bens e serviços que se pretende contratar, a não ser que a especificidade do objeto o recomende, situação em que os motivos de fato e de direito deverão estar devidamente explicitados no processo administrativo da licitação</w:t>
      </w:r>
      <w:r w:rsidRPr="0068243F">
        <w:rPr>
          <w:rFonts w:ascii="Arial" w:hAnsi="Arial" w:cs="Arial"/>
        </w:rPr>
        <w:t>”. Precedentes mencionados: Acórdãos ns. 3.157/2004, da 1ª Câmara, 124/2002, 1.937/2003, 1.341/2006, 2.143/2007, 1.557/2009, 534/2011, 1.695/2011, e 737/2012, do Plenário.</w:t>
      </w:r>
      <w:r w:rsidRPr="0068243F">
        <w:rPr>
          <w:rFonts w:ascii="Arial" w:hAnsi="Arial" w:cs="Arial"/>
          <w:b/>
          <w:i/>
        </w:rPr>
        <w:t xml:space="preserve"> Acórdão n.º 1.052/2012-Plenário, TC 004.871/2012-0, rel. Min. Marcos Bemquerer Costa, 2.5.2012.</w:t>
      </w:r>
    </w:p>
    <w:p w:rsidR="0068243F" w:rsidRDefault="0068243F" w:rsidP="0068243F">
      <w:pPr>
        <w:pStyle w:val="TCU-Ac-itens1a8"/>
        <w:rPr>
          <w:rFonts w:ascii="Arial" w:hAnsi="Arial" w:cs="Arial"/>
          <w:b/>
          <w:i/>
        </w:rPr>
      </w:pPr>
    </w:p>
    <w:p w:rsidR="0068243F" w:rsidRPr="0068243F" w:rsidRDefault="0068243F" w:rsidP="0068243F">
      <w:pPr>
        <w:pStyle w:val="TCU-Ac-itens1a8"/>
        <w:rPr>
          <w:rFonts w:ascii="Arial" w:hAnsi="Arial" w:cs="Arial"/>
          <w:b/>
          <w:i/>
        </w:rPr>
      </w:pPr>
    </w:p>
    <w:p w:rsidR="0068243F" w:rsidRDefault="0068243F" w:rsidP="0068243F">
      <w:pPr>
        <w:pStyle w:val="TCU-Ac-itens1a8"/>
        <w:rPr>
          <w:rFonts w:ascii="Arial" w:hAnsi="Arial" w:cs="Arial"/>
          <w:b/>
        </w:rPr>
      </w:pPr>
      <w:r w:rsidRPr="0068243F">
        <w:rPr>
          <w:rFonts w:ascii="Arial" w:hAnsi="Arial" w:cs="Arial"/>
          <w:b/>
        </w:rPr>
        <w:t>Contratação de projetos de obra pública: 2 - É ilegal a inabilitação de empresas em razão da falta de apresentação de declarações que não constavam do rol dos documentos especificados no edital como necessários à superação dessa fase do certame</w:t>
      </w:r>
    </w:p>
    <w:p w:rsidR="0068243F" w:rsidRPr="0068243F" w:rsidRDefault="0068243F" w:rsidP="0068243F">
      <w:pPr>
        <w:pStyle w:val="TCU-Ac-itens1a8"/>
        <w:rPr>
          <w:rFonts w:ascii="Arial" w:hAnsi="Arial" w:cs="Arial"/>
          <w:b/>
        </w:rPr>
      </w:pPr>
    </w:p>
    <w:p w:rsidR="0068243F" w:rsidRPr="0068243F" w:rsidRDefault="0068243F" w:rsidP="0068243F">
      <w:pPr>
        <w:widowControl w:val="0"/>
        <w:tabs>
          <w:tab w:val="left" w:pos="-31336"/>
          <w:tab w:val="left" w:pos="567"/>
        </w:tabs>
        <w:spacing w:after="0"/>
        <w:jc w:val="both"/>
        <w:rPr>
          <w:rFonts w:ascii="Arial" w:hAnsi="Arial" w:cs="Arial"/>
          <w:b/>
          <w:i/>
          <w:sz w:val="24"/>
          <w:szCs w:val="24"/>
        </w:rPr>
      </w:pPr>
      <w:r w:rsidRPr="0068243F">
        <w:rPr>
          <w:rFonts w:ascii="Arial" w:hAnsi="Arial" w:cs="Arial"/>
          <w:sz w:val="24"/>
          <w:szCs w:val="24"/>
        </w:rPr>
        <w:t>Também na Representação que acusou possíveis irregularidades no edital da referida Tomada de Preços n. 05/2011, a unidade técnica registrou que a comissão permanente de licitação decidira inabilitar sete das nove empresas participantes do certame, por terem deixado de apresentar “</w:t>
      </w:r>
      <w:r w:rsidRPr="0068243F">
        <w:rPr>
          <w:rFonts w:ascii="Arial" w:hAnsi="Arial" w:cs="Arial"/>
          <w:i/>
          <w:sz w:val="24"/>
          <w:szCs w:val="24"/>
        </w:rPr>
        <w:t>declaração de inexistência de impedimento legal para contratar com a administração</w:t>
      </w:r>
      <w:r w:rsidRPr="0068243F">
        <w:rPr>
          <w:rFonts w:ascii="Arial" w:hAnsi="Arial" w:cs="Arial"/>
          <w:sz w:val="24"/>
          <w:szCs w:val="24"/>
        </w:rPr>
        <w:t>” ou “</w:t>
      </w:r>
      <w:r w:rsidRPr="0068243F">
        <w:rPr>
          <w:rFonts w:ascii="Arial" w:hAnsi="Arial" w:cs="Arial"/>
          <w:i/>
          <w:sz w:val="24"/>
          <w:szCs w:val="24"/>
        </w:rPr>
        <w:t>declaração de cessão de direito patrimonial do edital</w:t>
      </w:r>
      <w:r w:rsidRPr="0068243F">
        <w:rPr>
          <w:rFonts w:ascii="Arial" w:hAnsi="Arial" w:cs="Arial"/>
          <w:sz w:val="24"/>
          <w:szCs w:val="24"/>
        </w:rPr>
        <w:t>”. Ressaltou, no entanto, que essas declarações não constavam da relação de documentos que deveria ter sido apresentada para fins de habilitação. O relator, ao endossar o exame da unidade técnica, assim se pronunciou: “</w:t>
      </w:r>
      <w:r w:rsidRPr="0068243F">
        <w:rPr>
          <w:rFonts w:ascii="Arial" w:hAnsi="Arial" w:cs="Arial"/>
          <w:i/>
          <w:sz w:val="24"/>
          <w:szCs w:val="24"/>
        </w:rPr>
        <w:t>Se as declarações dos Anexos XI e XIV não constavam no rol dos documentos exigidos na fase de habilitação, elas deveriam ser aceitas em outro momento, não cabendo à CPL fazer restrições que não estejam consignadas no edital</w:t>
      </w:r>
      <w:r w:rsidRPr="0068243F">
        <w:rPr>
          <w:rFonts w:ascii="Arial" w:hAnsi="Arial" w:cs="Arial"/>
          <w:sz w:val="24"/>
          <w:szCs w:val="24"/>
        </w:rPr>
        <w:t>”. Tal procedimento implicou “</w:t>
      </w:r>
      <w:r w:rsidRPr="0068243F">
        <w:rPr>
          <w:rFonts w:ascii="Arial" w:hAnsi="Arial" w:cs="Arial"/>
          <w:i/>
          <w:sz w:val="24"/>
          <w:szCs w:val="24"/>
        </w:rPr>
        <w:t>restrição indevida à competitividade do certame, mormente se considerarmos o fato de que resultou na inabilitação, só por esse motivo, de sete das nove empresas participantes</w:t>
      </w:r>
      <w:r w:rsidRPr="0068243F">
        <w:rPr>
          <w:rFonts w:ascii="Arial" w:hAnsi="Arial" w:cs="Arial"/>
          <w:sz w:val="24"/>
          <w:szCs w:val="24"/>
        </w:rPr>
        <w:t xml:space="preserve">”. O Tribunal, também por esse motivo, ao endossar proposta do relator, decidiu: I) fixar prazo ao Creci/SP para que adote providências com vistas a anular a Tomada de Preços n. 05/2011; II) determinar ao Creci/SP que, em futuras licitações, “... </w:t>
      </w:r>
      <w:r w:rsidRPr="0068243F">
        <w:rPr>
          <w:rFonts w:ascii="Arial" w:hAnsi="Arial" w:cs="Arial"/>
          <w:i/>
          <w:sz w:val="24"/>
          <w:szCs w:val="24"/>
        </w:rPr>
        <w:t>ao conduzir o procedimento, deixe de fazer exigências que não estejam expressamente previstas no edital, a exemplo do que ocorreu na Tomada de Preços n. 05/2011</w:t>
      </w:r>
      <w:r w:rsidRPr="0068243F">
        <w:rPr>
          <w:rFonts w:ascii="Arial" w:hAnsi="Arial" w:cs="Arial"/>
          <w:sz w:val="24"/>
          <w:szCs w:val="24"/>
        </w:rPr>
        <w:t xml:space="preserve">”. </w:t>
      </w:r>
      <w:r w:rsidRPr="0068243F">
        <w:rPr>
          <w:rFonts w:ascii="Arial" w:hAnsi="Arial" w:cs="Arial"/>
          <w:b/>
          <w:i/>
          <w:sz w:val="24"/>
          <w:szCs w:val="24"/>
        </w:rPr>
        <w:t>Acórdão n.º 1.052/2012-Plenário, TC 004.871/2012-0, rel. Min. Marcos Bemquerer Costa, 2.5.2012.</w:t>
      </w:r>
    </w:p>
    <w:p w:rsidR="0068243F" w:rsidRDefault="0068243F" w:rsidP="0068243F">
      <w:pPr>
        <w:spacing w:line="360" w:lineRule="auto"/>
        <w:jc w:val="both"/>
        <w:rPr>
          <w:rFonts w:ascii="Arial" w:hAnsi="Arial" w:cs="Arial"/>
          <w:color w:val="FF0000"/>
          <w:sz w:val="24"/>
          <w:szCs w:val="24"/>
        </w:rPr>
      </w:pPr>
    </w:p>
    <w:p w:rsidR="00A01CDD" w:rsidRDefault="00A01CDD" w:rsidP="0068243F">
      <w:pPr>
        <w:spacing w:line="360" w:lineRule="auto"/>
        <w:jc w:val="both"/>
        <w:rPr>
          <w:rFonts w:ascii="Arial" w:hAnsi="Arial" w:cs="Arial"/>
          <w:color w:val="FF0000"/>
          <w:sz w:val="24"/>
          <w:szCs w:val="24"/>
        </w:rPr>
      </w:pPr>
    </w:p>
    <w:p w:rsidR="00A01CDD" w:rsidRDefault="00A01CDD" w:rsidP="00A01CDD">
      <w:pPr>
        <w:spacing w:line="360" w:lineRule="auto"/>
        <w:jc w:val="center"/>
        <w:rPr>
          <w:rFonts w:ascii="Arial" w:hAnsi="Arial" w:cs="Arial"/>
          <w:color w:val="FF0000"/>
          <w:sz w:val="24"/>
          <w:szCs w:val="24"/>
        </w:rPr>
      </w:pPr>
      <w:r>
        <w:rPr>
          <w:rFonts w:ascii="Arial" w:hAnsi="Arial" w:cs="Arial"/>
          <w:color w:val="FF0000"/>
          <w:sz w:val="24"/>
          <w:szCs w:val="24"/>
        </w:rPr>
        <w:t>105</w:t>
      </w:r>
    </w:p>
    <w:p w:rsidR="00A01CDD" w:rsidRPr="00D357FE" w:rsidRDefault="00A01CDD" w:rsidP="00A01CDD">
      <w:pPr>
        <w:pStyle w:val="Default"/>
        <w:jc w:val="both"/>
        <w:rPr>
          <w:rFonts w:ascii="Arial" w:hAnsi="Arial" w:cs="Arial"/>
          <w:b/>
          <w:color w:val="auto"/>
        </w:rPr>
      </w:pPr>
      <w:r w:rsidRPr="00D357FE">
        <w:rPr>
          <w:rFonts w:ascii="Arial" w:hAnsi="Arial" w:cs="Arial"/>
          <w:b/>
          <w:color w:val="auto"/>
        </w:rPr>
        <w:t>A possibilidade de prorrogação do prazo de vigência de contrato de concessão de área pública, ainda que prevista em lei e em contrato, é faculdade outorgada à Administração e não direito subjetivo do contratado</w:t>
      </w:r>
    </w:p>
    <w:p w:rsidR="00A01CDD" w:rsidRPr="00A01CDD" w:rsidRDefault="00A01CDD" w:rsidP="00A01CDD">
      <w:pPr>
        <w:pStyle w:val="Default"/>
        <w:jc w:val="both"/>
        <w:rPr>
          <w:rFonts w:ascii="Arial" w:hAnsi="Arial" w:cs="Arial"/>
          <w:b/>
          <w:color w:val="FF0000"/>
        </w:rPr>
      </w:pPr>
    </w:p>
    <w:p w:rsidR="00A01CDD" w:rsidRPr="00A01CDD" w:rsidRDefault="00A01CDD" w:rsidP="00A01CDD">
      <w:pPr>
        <w:pStyle w:val="Default"/>
        <w:jc w:val="both"/>
        <w:rPr>
          <w:rFonts w:ascii="Arial" w:hAnsi="Arial" w:cs="Arial"/>
          <w:b/>
          <w:i/>
        </w:rPr>
      </w:pPr>
      <w:r w:rsidRPr="00A01CDD">
        <w:rPr>
          <w:rFonts w:ascii="Arial" w:hAnsi="Arial" w:cs="Arial"/>
        </w:rPr>
        <w:t>Pedido de Reexame interposto pela empresa Laselva Comércio de Livros e Artigos de Conveniência Ltda. buscou reformar o Acórdão nº 3060/2008 – Plenário, por meio do qual o Tribunal considerou regular decisão da Infraero de não prorrogar o prazo de vigência de Contrato de Concessão de uso de área localizada no Terminal de Passageiros I do Aeroporto de Guarulhos. A recorrente, entre outros argumentos, asseverou que a prorrogação contratual seria “</w:t>
      </w:r>
      <w:r w:rsidRPr="00A01CDD">
        <w:rPr>
          <w:rFonts w:ascii="Arial" w:hAnsi="Arial" w:cs="Arial"/>
          <w:i/>
        </w:rPr>
        <w:t>ato vinculado</w:t>
      </w:r>
      <w:r w:rsidRPr="00A01CDD">
        <w:rPr>
          <w:rFonts w:ascii="Arial" w:hAnsi="Arial" w:cs="Arial"/>
        </w:rPr>
        <w:t>”, uma vez que estariam presentes as condições exigidas pela Infraero para utilização do bem público: o adimplemento de suas obrigações contratuais e a regularidade fiscal. Acrescentou que o termo “</w:t>
      </w:r>
      <w:r w:rsidRPr="00A01CDD">
        <w:rPr>
          <w:rFonts w:ascii="Arial" w:hAnsi="Arial" w:cs="Arial"/>
          <w:i/>
        </w:rPr>
        <w:t>poderá</w:t>
      </w:r>
      <w:r w:rsidRPr="00A01CDD">
        <w:rPr>
          <w:rFonts w:ascii="Arial" w:hAnsi="Arial" w:cs="Arial"/>
        </w:rPr>
        <w:t>”, contido em cláusula contratual que dispõe sobre a possibilidade de extensão da vigência do contrato não caracterizaria faculdade atribuída a Administração, visto que todo poder, em direito público, traz implícita a ideia de “</w:t>
      </w:r>
      <w:r w:rsidRPr="00A01CDD">
        <w:rPr>
          <w:rFonts w:ascii="Arial" w:hAnsi="Arial" w:cs="Arial"/>
          <w:i/>
        </w:rPr>
        <w:t>dever</w:t>
      </w:r>
      <w:r w:rsidRPr="00A01CDD">
        <w:rPr>
          <w:rFonts w:ascii="Arial" w:hAnsi="Arial" w:cs="Arial"/>
        </w:rPr>
        <w:t>”. O relator, em linha de consonância com a unidade técnica, não vislumbrou desvio de poder ou ilegalidade na decisão da Infraero de não prorrogar o instrumento contratual. Além disso, observou que a área pretendida pela empresa já foi objeto de leilão recente, realizado em 6/2/2012. Ao final, validou argumento da Infraero, no sentido de que cabia a ela decidir sobre a pertinência de prorrogar ou não o citado contrato. E arrematou: “</w:t>
      </w:r>
      <w:r w:rsidRPr="00A01CDD">
        <w:rPr>
          <w:rFonts w:ascii="Arial" w:hAnsi="Arial" w:cs="Arial"/>
          <w:i/>
        </w:rPr>
        <w:t>A prorrogação contratual, mesmo que autorizada em lei e prevista no termo avençado, é uma faculdade outorgada à Administração e não um direito subjetivo do contratado</w:t>
      </w:r>
      <w:r w:rsidRPr="00A01CDD">
        <w:rPr>
          <w:rFonts w:ascii="Arial" w:hAnsi="Arial" w:cs="Arial"/>
        </w:rPr>
        <w:t xml:space="preserve">”. O Tribunal então, com suporte em proposta do relator, decidiu conhecer o pedido de reexame apresentado citada empresa e, no mérito, negar provimento a esse recurso. </w:t>
      </w:r>
      <w:r w:rsidRPr="00A01CDD">
        <w:rPr>
          <w:rFonts w:ascii="Arial" w:hAnsi="Arial" w:cs="Arial"/>
          <w:b/>
          <w:i/>
        </w:rPr>
        <w:t>Acórdão n.º 1084/2012-Plenário, TC 030.543/2008-1, rel. Min. Aroldo Cedraz, 9.5.2012.</w:t>
      </w:r>
    </w:p>
    <w:p w:rsidR="00A01CDD" w:rsidRDefault="00A01CDD" w:rsidP="00A01CDD">
      <w:pPr>
        <w:pStyle w:val="Default"/>
        <w:jc w:val="both"/>
        <w:rPr>
          <w:rFonts w:ascii="Arial" w:hAnsi="Arial" w:cs="Arial"/>
          <w:b/>
        </w:rPr>
      </w:pPr>
    </w:p>
    <w:p w:rsidR="00A01CDD" w:rsidRPr="00A01CDD" w:rsidRDefault="00A01CDD" w:rsidP="00A01CDD">
      <w:pPr>
        <w:pStyle w:val="Default"/>
        <w:jc w:val="both"/>
        <w:rPr>
          <w:rFonts w:ascii="Arial" w:hAnsi="Arial" w:cs="Arial"/>
          <w:b/>
        </w:rPr>
      </w:pPr>
    </w:p>
    <w:p w:rsidR="00A01CDD" w:rsidRPr="00D357FE" w:rsidRDefault="00A01CDD" w:rsidP="00A01CDD">
      <w:pPr>
        <w:pStyle w:val="Default"/>
        <w:jc w:val="both"/>
        <w:rPr>
          <w:rFonts w:ascii="Arial" w:hAnsi="Arial" w:cs="Arial"/>
          <w:b/>
          <w:color w:val="auto"/>
        </w:rPr>
      </w:pPr>
      <w:r w:rsidRPr="00D357FE">
        <w:rPr>
          <w:rFonts w:ascii="Arial" w:hAnsi="Arial" w:cs="Arial"/>
          <w:b/>
          <w:color w:val="auto"/>
        </w:rPr>
        <w:t>Indícios de sobrepreço identificados em fiscalizações do Tribunal justificam a realização de auditorias com o intuito de avaliar a abrangência e confiabilidade dos procedimentos de coleta e tratamento de dados relativos a preços de insumos contidos nos sistemas referenciais Sicro e Sinapi</w:t>
      </w:r>
    </w:p>
    <w:p w:rsidR="00A01CDD" w:rsidRPr="00A01CDD" w:rsidRDefault="00A01CDD" w:rsidP="00A01CDD">
      <w:pPr>
        <w:pStyle w:val="Default"/>
        <w:jc w:val="both"/>
        <w:rPr>
          <w:rFonts w:ascii="Arial" w:hAnsi="Arial" w:cs="Arial"/>
          <w:b/>
          <w:i/>
        </w:rPr>
      </w:pPr>
      <w:r w:rsidRPr="00A01CDD">
        <w:rPr>
          <w:rFonts w:ascii="Arial" w:hAnsi="Arial" w:cs="Arial"/>
          <w:color w:val="auto"/>
        </w:rPr>
        <w:t xml:space="preserve">Representação </w:t>
      </w:r>
      <w:r w:rsidRPr="00A01CDD">
        <w:rPr>
          <w:rFonts w:ascii="Arial" w:hAnsi="Arial" w:cs="Arial"/>
        </w:rPr>
        <w:t>de unidade técnica noticiou possível superestimativa nos valores contidos nas tabelas de custos dos sistemas oficiais de referência Sicro (Sistema de Custos Rodoviários do DNIT) e Sinapi (Sistema Nacional de Pesquisa de Custos e Índices da Construção Civil, gerido pela Caixa), utilizados na contratação de obras públicas. Apontou falhas metodológicas no processo de coleta, crítica e tratamento estatístico dos dados que alimentam esses sistemas. O relator, por sua vez, colacionou diversas deliberações em que o Tribunal se deparou com aspectos específicos do “</w:t>
      </w:r>
      <w:r w:rsidRPr="00A01CDD">
        <w:rPr>
          <w:rFonts w:ascii="Arial" w:hAnsi="Arial" w:cs="Arial"/>
          <w:i/>
        </w:rPr>
        <w:t>problema</w:t>
      </w:r>
      <w:r w:rsidRPr="00A01CDD">
        <w:rPr>
          <w:rFonts w:ascii="Arial" w:hAnsi="Arial" w:cs="Arial"/>
        </w:rPr>
        <w:t>” suscitado na representação. Também ressaltou a relevância da matéria, visto que “</w:t>
      </w:r>
      <w:r w:rsidRPr="00A01CDD">
        <w:rPr>
          <w:rFonts w:ascii="Arial" w:hAnsi="Arial" w:cs="Arial"/>
          <w:i/>
        </w:rPr>
        <w:t>Os sistemas oficiais de preço são utilizados como referência para a composição dos orçamentos de todas as obras públicas, servindo de parâmetro para avaliar a economicidade da contratação de serviços que custam ao Estado dezenas de bilhões de reais por ano</w:t>
      </w:r>
      <w:r w:rsidRPr="00A01CDD">
        <w:rPr>
          <w:rFonts w:ascii="Arial" w:hAnsi="Arial" w:cs="Arial"/>
        </w:rPr>
        <w:t>”. Anotou que as últimas Leis de Diretrizes Orçamentárias (LDO) têm reiterado a necessidade de observância de tais sistemas referenciais e, a título de exemplo, transcreveu o art. 127 da LDO/2011 (Lei nº 12.309/2010): “</w:t>
      </w:r>
      <w:r w:rsidRPr="00A01CDD">
        <w:rPr>
          <w:rFonts w:ascii="Arial" w:hAnsi="Arial" w:cs="Arial"/>
          <w:i/>
        </w:rPr>
        <w:t xml:space="preserve">Art. 127. O custo global de obras e serviços de engenharia contratados e executados com recursos dos orçamentos da União será obtido a partir de composições de custos unitários, previstas no projeto, menores ou iguais à mediana de seus correspondentes no Sistema Nacional de Pesquisa de Custos e Índices da Construção Civil – Sinapi, mantido e divulgado, na internet, pela Caixa Econômica Federal, e, no caso de obras e serviços rodoviários, à tabela do Sistema de Custos de Obras Rodoviárias – </w:t>
      </w:r>
      <w:r w:rsidRPr="00A01CDD">
        <w:rPr>
          <w:rFonts w:ascii="Arial" w:hAnsi="Arial" w:cs="Arial"/>
          <w:i/>
          <w:u w:val="single"/>
        </w:rPr>
        <w:t>Sicro</w:t>
      </w:r>
      <w:r w:rsidRPr="00A01CDD">
        <w:rPr>
          <w:rFonts w:ascii="Arial" w:hAnsi="Arial" w:cs="Arial"/>
          <w:i/>
        </w:rPr>
        <w:t>, excetuados os itens caracterizados como montagem industrial ou que não possam ser considerados como de construção civil.”</w:t>
      </w:r>
      <w:r w:rsidRPr="00A01CDD">
        <w:rPr>
          <w:rFonts w:ascii="Arial" w:hAnsi="Arial" w:cs="Arial"/>
        </w:rPr>
        <w:t xml:space="preserve"> O Tribunal, então, ao endossar proposta do relator, que encampou sugestões do revisor, decidiu autorizar a realização de:</w:t>
      </w:r>
      <w:r w:rsidRPr="00A01CDD">
        <w:rPr>
          <w:rFonts w:ascii="Arial" w:hAnsi="Arial" w:cs="Arial"/>
          <w:i/>
        </w:rPr>
        <w:t xml:space="preserve"> </w:t>
      </w:r>
      <w:r w:rsidRPr="00A01CDD">
        <w:rPr>
          <w:rFonts w:ascii="Arial" w:hAnsi="Arial" w:cs="Arial"/>
        </w:rPr>
        <w:t>“</w:t>
      </w:r>
      <w:r w:rsidRPr="00A01CDD">
        <w:rPr>
          <w:rFonts w:ascii="Arial" w:hAnsi="Arial" w:cs="Arial"/>
          <w:i/>
        </w:rPr>
        <w:t>9.1.1. auditoria no Instituto Brasileiro de Geografia e Estatística - IBGE, com vistas a avaliar a abrangência e confiabilidade de seus procedimentos de coleta e tratamento de dados relativos a preços de insumos integrantes do Sistema Sinapi, comparar as informações advindas de consultas ao referido sistema com dados coletados diretamente no mercado, estabelecer a divergência entre os dois conjuntos de dados (sistema e mercado), e, se for o caso, propor alterações na metodologia do sistema de forma a garantir sua aproximação com a realidade do mercado; 9.1.2. auditoria no Departamento Nacional de Infraestrutura de Transportes – Dnit, com vistas a avaliar a abrangência e confiabilidade dos procedimentos de coleta e tratamento de dados relativos a preços de insumos integrantes dos Sistemas SICRO-II e SICRO-III, comparar as informações advindas de consultas aos referidos sistemas entre si (se já disponíveis para o SICRPO-III) e com dados coletados diretamente no mercado, estabelecer a divergência entre os dois conjuntos de dados (sistemas e mercado), e, se for o caso, propor alterações na metodologia do novo Sistema SICRO-III de forma a garantir sua aproximação com a realidade do mercado</w:t>
      </w:r>
      <w:r w:rsidRPr="00A01CDD">
        <w:rPr>
          <w:rFonts w:ascii="Arial" w:hAnsi="Arial" w:cs="Arial"/>
        </w:rPr>
        <w:t xml:space="preserve">”. </w:t>
      </w:r>
      <w:r w:rsidRPr="00A01CDD">
        <w:rPr>
          <w:rFonts w:ascii="Arial" w:hAnsi="Arial" w:cs="Arial"/>
          <w:b/>
          <w:i/>
        </w:rPr>
        <w:t xml:space="preserve">Acórdão n.º 1078/2012-Plenário, TC  019.387/2011-3, rel. Min. José Múcio Monteiro, 9.5.2012. </w:t>
      </w:r>
    </w:p>
    <w:p w:rsidR="00A01CDD" w:rsidRPr="0068243F" w:rsidRDefault="00A01CDD" w:rsidP="00A01CDD">
      <w:pPr>
        <w:spacing w:line="360" w:lineRule="auto"/>
        <w:jc w:val="both"/>
        <w:rPr>
          <w:rFonts w:ascii="Arial" w:hAnsi="Arial" w:cs="Arial"/>
          <w:color w:val="FF0000"/>
          <w:sz w:val="24"/>
          <w:szCs w:val="24"/>
        </w:rPr>
      </w:pPr>
    </w:p>
    <w:sectPr w:rsidR="00A01CDD" w:rsidRPr="0068243F" w:rsidSect="00AE401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rsids>
    <w:rsidRoot w:val="0049060C"/>
    <w:rsid w:val="000238E8"/>
    <w:rsid w:val="000419B9"/>
    <w:rsid w:val="0008653E"/>
    <w:rsid w:val="000B3F82"/>
    <w:rsid w:val="000B67A5"/>
    <w:rsid w:val="000C3662"/>
    <w:rsid w:val="000F2D4B"/>
    <w:rsid w:val="0013416B"/>
    <w:rsid w:val="001522A7"/>
    <w:rsid w:val="001854F3"/>
    <w:rsid w:val="001915FA"/>
    <w:rsid w:val="001C775C"/>
    <w:rsid w:val="00251DE6"/>
    <w:rsid w:val="00253B9D"/>
    <w:rsid w:val="002609E2"/>
    <w:rsid w:val="0026212D"/>
    <w:rsid w:val="002C39BD"/>
    <w:rsid w:val="00314BF8"/>
    <w:rsid w:val="0031750A"/>
    <w:rsid w:val="003564C8"/>
    <w:rsid w:val="0037283F"/>
    <w:rsid w:val="003A2171"/>
    <w:rsid w:val="003B0B93"/>
    <w:rsid w:val="003C5D51"/>
    <w:rsid w:val="0041674B"/>
    <w:rsid w:val="004265A1"/>
    <w:rsid w:val="004277FF"/>
    <w:rsid w:val="004362C9"/>
    <w:rsid w:val="004570CC"/>
    <w:rsid w:val="00474CA5"/>
    <w:rsid w:val="0049060C"/>
    <w:rsid w:val="004B4506"/>
    <w:rsid w:val="004B4517"/>
    <w:rsid w:val="004B51C2"/>
    <w:rsid w:val="004C05B9"/>
    <w:rsid w:val="004C1EC9"/>
    <w:rsid w:val="004F0752"/>
    <w:rsid w:val="0052133E"/>
    <w:rsid w:val="00543995"/>
    <w:rsid w:val="00590CA3"/>
    <w:rsid w:val="005D0CC5"/>
    <w:rsid w:val="005F4DC6"/>
    <w:rsid w:val="00602D20"/>
    <w:rsid w:val="00633EA3"/>
    <w:rsid w:val="0064492A"/>
    <w:rsid w:val="00675950"/>
    <w:rsid w:val="0068243F"/>
    <w:rsid w:val="00707192"/>
    <w:rsid w:val="00716EEA"/>
    <w:rsid w:val="00737698"/>
    <w:rsid w:val="007801EE"/>
    <w:rsid w:val="007A5C63"/>
    <w:rsid w:val="007E3274"/>
    <w:rsid w:val="00805281"/>
    <w:rsid w:val="0086476C"/>
    <w:rsid w:val="008B0B2D"/>
    <w:rsid w:val="008C4408"/>
    <w:rsid w:val="008E45A9"/>
    <w:rsid w:val="00915F9A"/>
    <w:rsid w:val="0093109F"/>
    <w:rsid w:val="009343C4"/>
    <w:rsid w:val="00985303"/>
    <w:rsid w:val="00990921"/>
    <w:rsid w:val="009C0A94"/>
    <w:rsid w:val="009C5DD8"/>
    <w:rsid w:val="00A01CDD"/>
    <w:rsid w:val="00A050DE"/>
    <w:rsid w:val="00A13F0A"/>
    <w:rsid w:val="00A17BFE"/>
    <w:rsid w:val="00A617F8"/>
    <w:rsid w:val="00A65BBC"/>
    <w:rsid w:val="00A732A7"/>
    <w:rsid w:val="00A82D93"/>
    <w:rsid w:val="00A83029"/>
    <w:rsid w:val="00AA353A"/>
    <w:rsid w:val="00AE4018"/>
    <w:rsid w:val="00B13C88"/>
    <w:rsid w:val="00B15825"/>
    <w:rsid w:val="00B21CE2"/>
    <w:rsid w:val="00B62FD9"/>
    <w:rsid w:val="00B874EC"/>
    <w:rsid w:val="00C1422C"/>
    <w:rsid w:val="00C16894"/>
    <w:rsid w:val="00C70C15"/>
    <w:rsid w:val="00C92811"/>
    <w:rsid w:val="00CA4B42"/>
    <w:rsid w:val="00CB36BF"/>
    <w:rsid w:val="00CF6006"/>
    <w:rsid w:val="00D357FE"/>
    <w:rsid w:val="00D5767B"/>
    <w:rsid w:val="00DC69A9"/>
    <w:rsid w:val="00DD155B"/>
    <w:rsid w:val="00E075D8"/>
    <w:rsid w:val="00E16FE5"/>
    <w:rsid w:val="00E30F1F"/>
    <w:rsid w:val="00E41E4D"/>
    <w:rsid w:val="00E5369E"/>
    <w:rsid w:val="00EA4EA4"/>
    <w:rsid w:val="00EE6D43"/>
    <w:rsid w:val="00F078B0"/>
    <w:rsid w:val="00F32827"/>
    <w:rsid w:val="00F35856"/>
    <w:rsid w:val="00F63EFB"/>
    <w:rsid w:val="00F65354"/>
    <w:rsid w:val="00FA3AB7"/>
    <w:rsid w:val="00FD3A7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018"/>
  </w:style>
  <w:style w:type="paragraph" w:styleId="Ttulo1">
    <w:name w:val="heading 1"/>
    <w:basedOn w:val="Normal"/>
    <w:next w:val="Normal"/>
    <w:link w:val="Ttulo1Char"/>
    <w:uiPriority w:val="9"/>
    <w:qFormat/>
    <w:rsid w:val="004906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49060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49060C"/>
    <w:rPr>
      <w:rFonts w:asciiTheme="majorHAnsi" w:eastAsiaTheme="majorEastAsia" w:hAnsiTheme="majorHAnsi" w:cstheme="majorBidi"/>
      <w:color w:val="17365D" w:themeColor="text2" w:themeShade="BF"/>
      <w:spacing w:val="5"/>
      <w:kern w:val="28"/>
      <w:sz w:val="52"/>
      <w:szCs w:val="52"/>
    </w:rPr>
  </w:style>
  <w:style w:type="character" w:customStyle="1" w:styleId="Ttulo1Char">
    <w:name w:val="Título 1 Char"/>
    <w:basedOn w:val="Fontepargpadro"/>
    <w:link w:val="Ttulo1"/>
    <w:uiPriority w:val="9"/>
    <w:rsid w:val="0049060C"/>
    <w:rPr>
      <w:rFonts w:asciiTheme="majorHAnsi" w:eastAsiaTheme="majorEastAsia" w:hAnsiTheme="majorHAnsi" w:cstheme="majorBidi"/>
      <w:b/>
      <w:bCs/>
      <w:color w:val="365F91" w:themeColor="accent1" w:themeShade="BF"/>
      <w:sz w:val="28"/>
      <w:szCs w:val="28"/>
    </w:rPr>
  </w:style>
  <w:style w:type="character" w:styleId="Hyperlink">
    <w:name w:val="Hyperlink"/>
    <w:basedOn w:val="Fontepargpadro"/>
    <w:uiPriority w:val="99"/>
    <w:unhideWhenUsed/>
    <w:rsid w:val="00A050DE"/>
    <w:rPr>
      <w:color w:val="0000FF" w:themeColor="hyperlink"/>
      <w:u w:val="single"/>
    </w:rPr>
  </w:style>
  <w:style w:type="paragraph" w:customStyle="1" w:styleId="TCU-RelVoto-1">
    <w:name w:val="TCU - Rel/Voto - 1º §"/>
    <w:basedOn w:val="Normal"/>
    <w:qFormat/>
    <w:rsid w:val="001915FA"/>
    <w:pPr>
      <w:spacing w:after="160" w:line="240" w:lineRule="auto"/>
      <w:ind w:firstLine="1134"/>
      <w:jc w:val="both"/>
    </w:pPr>
    <w:rPr>
      <w:rFonts w:ascii="Times New Roman" w:eastAsia="Times New Roman" w:hAnsi="Times New Roman" w:cs="Times New Roman"/>
      <w:sz w:val="24"/>
    </w:rPr>
  </w:style>
  <w:style w:type="paragraph" w:styleId="NormalWeb">
    <w:name w:val="Normal (Web)"/>
    <w:basedOn w:val="Normal"/>
    <w:uiPriority w:val="99"/>
    <w:semiHidden/>
    <w:unhideWhenUsed/>
    <w:rsid w:val="00E075D8"/>
    <w:pPr>
      <w:spacing w:before="100" w:beforeAutospacing="1" w:after="100" w:afterAutospacing="1" w:line="240" w:lineRule="auto"/>
    </w:pPr>
    <w:rPr>
      <w:rFonts w:ascii="Times New Roman" w:hAnsi="Times New Roman" w:cs="Times New Roman"/>
      <w:sz w:val="24"/>
      <w:szCs w:val="24"/>
      <w:lang w:eastAsia="pt-BR"/>
    </w:rPr>
  </w:style>
  <w:style w:type="paragraph" w:styleId="Recuodecorpodetexto">
    <w:name w:val="Body Text Indent"/>
    <w:basedOn w:val="Normal"/>
    <w:link w:val="RecuodecorpodetextoChar"/>
    <w:semiHidden/>
    <w:rsid w:val="00915F9A"/>
    <w:pPr>
      <w:spacing w:after="0" w:line="240" w:lineRule="auto"/>
      <w:ind w:firstLine="1134"/>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915F9A"/>
    <w:rPr>
      <w:rFonts w:ascii="Times New Roman" w:eastAsia="Times New Roman" w:hAnsi="Times New Roman" w:cs="Times New Roman"/>
      <w:sz w:val="24"/>
      <w:szCs w:val="20"/>
      <w:lang w:eastAsia="pt-BR"/>
    </w:rPr>
  </w:style>
  <w:style w:type="paragraph" w:customStyle="1" w:styleId="Default">
    <w:name w:val="Default"/>
    <w:rsid w:val="00985303"/>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C">
    <w:name w:val="C"/>
    <w:basedOn w:val="Normal"/>
    <w:rsid w:val="004F0752"/>
    <w:pPr>
      <w:tabs>
        <w:tab w:val="left" w:pos="1418"/>
      </w:tabs>
      <w:spacing w:after="0" w:line="240" w:lineRule="auto"/>
      <w:jc w:val="both"/>
    </w:pPr>
    <w:rPr>
      <w:rFonts w:ascii="Times New Roman" w:eastAsia="Times New Roman" w:hAnsi="Times New Roman" w:cs="Times New Roman"/>
      <w:sz w:val="24"/>
      <w:szCs w:val="20"/>
      <w:lang w:eastAsia="pt-BR"/>
    </w:rPr>
  </w:style>
  <w:style w:type="paragraph" w:customStyle="1" w:styleId="TCU-Epgrafe">
    <w:name w:val="TCU - Epígrafe"/>
    <w:basedOn w:val="Normal"/>
    <w:qFormat/>
    <w:rsid w:val="00FD3A73"/>
    <w:pPr>
      <w:spacing w:after="0" w:line="240" w:lineRule="auto"/>
      <w:ind w:left="2835"/>
      <w:jc w:val="both"/>
    </w:pPr>
    <w:rPr>
      <w:rFonts w:ascii="Times New Roman" w:eastAsia="Times New Roman" w:hAnsi="Times New Roman" w:cs="Times New Roman"/>
      <w:sz w:val="24"/>
      <w:szCs w:val="20"/>
      <w:lang w:eastAsia="pt-BR"/>
    </w:rPr>
  </w:style>
  <w:style w:type="paragraph" w:customStyle="1" w:styleId="TCU-RelVoto-demais">
    <w:name w:val="TCU - Rel/Voto - demais §§"/>
    <w:basedOn w:val="Normal"/>
    <w:qFormat/>
    <w:rsid w:val="007E3274"/>
    <w:pPr>
      <w:tabs>
        <w:tab w:val="left" w:pos="1134"/>
      </w:tabs>
      <w:spacing w:after="160" w:line="240" w:lineRule="auto"/>
      <w:jc w:val="both"/>
    </w:pPr>
    <w:rPr>
      <w:rFonts w:ascii="Times New Roman" w:eastAsia="Times New Roman" w:hAnsi="Times New Roman" w:cs="Times New Roman"/>
      <w:sz w:val="24"/>
    </w:rPr>
  </w:style>
  <w:style w:type="paragraph" w:customStyle="1" w:styleId="TCU-Ac-item9-">
    <w:name w:val="TCU - Ac - item 9 - §§"/>
    <w:basedOn w:val="TCU-RelVoto-1"/>
    <w:qFormat/>
    <w:rsid w:val="0068243F"/>
    <w:pPr>
      <w:spacing w:after="0"/>
    </w:pPr>
  </w:style>
  <w:style w:type="paragraph" w:customStyle="1" w:styleId="TCU-Ac-itens1a8">
    <w:name w:val="TCU -   Ac - itens 1 a 8"/>
    <w:basedOn w:val="TCU-RelVoto-demais"/>
    <w:qFormat/>
    <w:rsid w:val="0068243F"/>
    <w:pPr>
      <w:spacing w:after="0"/>
    </w:pPr>
    <w:rPr>
      <w:szCs w:val="24"/>
    </w:rPr>
  </w:style>
</w:styles>
</file>

<file path=word/webSettings.xml><?xml version="1.0" encoding="utf-8"?>
<w:webSettings xmlns:r="http://schemas.openxmlformats.org/officeDocument/2006/relationships" xmlns:w="http://schemas.openxmlformats.org/wordprocessingml/2006/main">
  <w:divs>
    <w:div w:id="157774201">
      <w:bodyDiv w:val="1"/>
      <w:marLeft w:val="0"/>
      <w:marRight w:val="0"/>
      <w:marTop w:val="0"/>
      <w:marBottom w:val="0"/>
      <w:divBdr>
        <w:top w:val="none" w:sz="0" w:space="0" w:color="auto"/>
        <w:left w:val="none" w:sz="0" w:space="0" w:color="auto"/>
        <w:bottom w:val="none" w:sz="0" w:space="0" w:color="auto"/>
        <w:right w:val="none" w:sz="0" w:space="0" w:color="auto"/>
      </w:divBdr>
    </w:div>
    <w:div w:id="312023934">
      <w:bodyDiv w:val="1"/>
      <w:marLeft w:val="0"/>
      <w:marRight w:val="0"/>
      <w:marTop w:val="0"/>
      <w:marBottom w:val="0"/>
      <w:divBdr>
        <w:top w:val="none" w:sz="0" w:space="0" w:color="auto"/>
        <w:left w:val="none" w:sz="0" w:space="0" w:color="auto"/>
        <w:bottom w:val="none" w:sz="0" w:space="0" w:color="auto"/>
        <w:right w:val="none" w:sz="0" w:space="0" w:color="auto"/>
      </w:divBdr>
    </w:div>
    <w:div w:id="517234785">
      <w:bodyDiv w:val="1"/>
      <w:marLeft w:val="0"/>
      <w:marRight w:val="0"/>
      <w:marTop w:val="0"/>
      <w:marBottom w:val="0"/>
      <w:divBdr>
        <w:top w:val="none" w:sz="0" w:space="0" w:color="auto"/>
        <w:left w:val="none" w:sz="0" w:space="0" w:color="auto"/>
        <w:bottom w:val="none" w:sz="0" w:space="0" w:color="auto"/>
        <w:right w:val="none" w:sz="0" w:space="0" w:color="auto"/>
      </w:divBdr>
    </w:div>
    <w:div w:id="946277015">
      <w:bodyDiv w:val="1"/>
      <w:marLeft w:val="0"/>
      <w:marRight w:val="0"/>
      <w:marTop w:val="0"/>
      <w:marBottom w:val="0"/>
      <w:divBdr>
        <w:top w:val="none" w:sz="0" w:space="0" w:color="auto"/>
        <w:left w:val="none" w:sz="0" w:space="0" w:color="auto"/>
        <w:bottom w:val="none" w:sz="0" w:space="0" w:color="auto"/>
        <w:right w:val="none" w:sz="0" w:space="0" w:color="auto"/>
      </w:divBdr>
    </w:div>
    <w:div w:id="117148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87</Pages>
  <Words>66023</Words>
  <Characters>356526</Characters>
  <Application>Microsoft Office Word</Application>
  <DocSecurity>0</DocSecurity>
  <Lines>2971</Lines>
  <Paragraphs>843</Paragraphs>
  <ScaleCrop>false</ScaleCrop>
  <Company>TCSC</Company>
  <LinksUpToDate>false</LinksUpToDate>
  <CharactersWithSpaces>421706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TCSC</dc:creator>
  <cp:lastModifiedBy>TCSC</cp:lastModifiedBy>
  <cp:revision>2</cp:revision>
  <dcterms:created xsi:type="dcterms:W3CDTF">2012-06-05T20:03:00Z</dcterms:created>
  <dcterms:modified xsi:type="dcterms:W3CDTF">2012-06-05T20:03:00Z</dcterms:modified>
</cp:coreProperties>
</file>