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500" w:type="pct"/>
        <w:jc w:val="center"/>
        <w:tblCellSpacing w:w="0" w:type="dxa"/>
        <w:tblCellMar>
          <w:left w:w="0" w:type="dxa"/>
          <w:right w:w="0" w:type="dxa"/>
        </w:tblCellMar>
        <w:tblLook w:val="04A0" w:firstRow="1" w:lastRow="0" w:firstColumn="1" w:lastColumn="0" w:noHBand="0" w:noVBand="1"/>
      </w:tblPr>
      <w:tblGrid>
        <w:gridCol w:w="6548"/>
      </w:tblGrid>
      <w:tr w:rsidR="00B048A6" w:rsidRPr="00B048A6" w:rsidTr="00B048A6">
        <w:trPr>
          <w:trHeight w:val="1020"/>
          <w:tblCellSpacing w:w="0" w:type="dxa"/>
          <w:jc w:val="center"/>
        </w:trPr>
        <w:tc>
          <w:tcPr>
            <w:tcW w:w="4300" w:type="pct"/>
            <w:vAlign w:val="center"/>
            <w:hideMark/>
          </w:tcPr>
          <w:p w:rsidR="00B048A6" w:rsidRPr="00B048A6" w:rsidRDefault="00B048A6" w:rsidP="00B048A6">
            <w:pPr>
              <w:spacing w:before="100" w:beforeAutospacing="1" w:after="100" w:afterAutospacing="1" w:line="240" w:lineRule="auto"/>
              <w:jc w:val="center"/>
              <w:rPr>
                <w:rFonts w:ascii="Times New Roman" w:eastAsia="Times New Roman" w:hAnsi="Times New Roman" w:cs="Times New Roman"/>
                <w:sz w:val="24"/>
                <w:szCs w:val="24"/>
                <w:lang w:eastAsia="pt-BR"/>
              </w:rPr>
            </w:pPr>
            <w:r w:rsidRPr="00B048A6">
              <w:rPr>
                <w:rFonts w:ascii="Arial" w:eastAsia="Times New Roman" w:hAnsi="Arial" w:cs="Arial"/>
                <w:b/>
                <w:bCs/>
                <w:color w:val="808000"/>
                <w:sz w:val="36"/>
                <w:szCs w:val="36"/>
                <w:lang w:eastAsia="pt-BR"/>
              </w:rPr>
              <w:t>Presidência da República</w:t>
            </w:r>
            <w:r w:rsidRPr="00B048A6">
              <w:rPr>
                <w:rFonts w:ascii="Arial" w:eastAsia="Times New Roman" w:hAnsi="Arial" w:cs="Arial"/>
                <w:b/>
                <w:bCs/>
                <w:color w:val="808000"/>
                <w:sz w:val="24"/>
                <w:szCs w:val="24"/>
                <w:lang w:eastAsia="pt-BR"/>
              </w:rPr>
              <w:br/>
            </w:r>
            <w:r w:rsidRPr="00B048A6">
              <w:rPr>
                <w:rFonts w:ascii="Arial" w:eastAsia="Times New Roman" w:hAnsi="Arial" w:cs="Arial"/>
                <w:b/>
                <w:bCs/>
                <w:color w:val="808000"/>
                <w:sz w:val="27"/>
                <w:szCs w:val="27"/>
                <w:lang w:eastAsia="pt-BR"/>
              </w:rPr>
              <w:t>Casa Civil</w:t>
            </w:r>
            <w:r w:rsidRPr="00B048A6">
              <w:rPr>
                <w:rFonts w:ascii="Arial" w:eastAsia="Times New Roman" w:hAnsi="Arial" w:cs="Arial"/>
                <w:b/>
                <w:bCs/>
                <w:color w:val="808000"/>
                <w:sz w:val="27"/>
                <w:szCs w:val="27"/>
                <w:lang w:eastAsia="pt-BR"/>
              </w:rPr>
              <w:br/>
            </w:r>
            <w:r w:rsidRPr="00B048A6">
              <w:rPr>
                <w:rFonts w:ascii="Arial" w:eastAsia="Times New Roman" w:hAnsi="Arial" w:cs="Arial"/>
                <w:b/>
                <w:bCs/>
                <w:color w:val="808000"/>
                <w:sz w:val="24"/>
                <w:szCs w:val="24"/>
                <w:lang w:eastAsia="pt-BR"/>
              </w:rPr>
              <w:t>Subchefia para Assuntos Jurídicos</w:t>
            </w:r>
          </w:p>
        </w:tc>
      </w:tr>
    </w:tbl>
    <w:p w:rsidR="00B048A6" w:rsidRPr="00B048A6" w:rsidRDefault="00B048A6" w:rsidP="00B048A6">
      <w:pPr>
        <w:spacing w:before="100" w:beforeAutospacing="1" w:after="100" w:afterAutospacing="1" w:line="240" w:lineRule="auto"/>
        <w:jc w:val="center"/>
        <w:rPr>
          <w:rFonts w:ascii="Times New Roman" w:eastAsia="Times New Roman" w:hAnsi="Times New Roman" w:cs="Times New Roman"/>
          <w:color w:val="000000"/>
          <w:sz w:val="27"/>
          <w:szCs w:val="27"/>
          <w:lang w:eastAsia="pt-BR"/>
        </w:rPr>
      </w:pPr>
      <w:hyperlink r:id="rId5" w:history="1">
        <w:r w:rsidRPr="00B048A6">
          <w:rPr>
            <w:rFonts w:ascii="Arial" w:eastAsia="Times New Roman" w:hAnsi="Arial" w:cs="Arial"/>
            <w:b/>
            <w:bCs/>
            <w:color w:val="000080"/>
            <w:sz w:val="24"/>
            <w:szCs w:val="24"/>
            <w:u w:val="single"/>
            <w:lang w:eastAsia="pt-BR"/>
          </w:rPr>
          <w:t>LEI N</w:t>
        </w:r>
        <w:r w:rsidRPr="00B048A6">
          <w:rPr>
            <w:rFonts w:ascii="Arial" w:eastAsia="Times New Roman" w:hAnsi="Arial" w:cs="Arial"/>
            <w:b/>
            <w:bCs/>
            <w:color w:val="000080"/>
            <w:sz w:val="24"/>
            <w:szCs w:val="24"/>
            <w:u w:val="single"/>
            <w:vertAlign w:val="superscript"/>
            <w:lang w:eastAsia="pt-BR"/>
          </w:rPr>
          <w:t>o</w:t>
        </w:r>
        <w:r w:rsidRPr="00B048A6">
          <w:rPr>
            <w:rFonts w:ascii="Arial" w:eastAsia="Times New Roman" w:hAnsi="Arial" w:cs="Arial"/>
            <w:b/>
            <w:bCs/>
            <w:color w:val="000080"/>
            <w:sz w:val="24"/>
            <w:szCs w:val="24"/>
            <w:u w:val="single"/>
            <w:lang w:eastAsia="pt-BR"/>
          </w:rPr>
          <w:t xml:space="preserve"> 10.520, DE 17 DE JULHO DE </w:t>
        </w:r>
        <w:proofErr w:type="gramStart"/>
        <w:r w:rsidRPr="00B048A6">
          <w:rPr>
            <w:rFonts w:ascii="Arial" w:eastAsia="Times New Roman" w:hAnsi="Arial" w:cs="Arial"/>
            <w:b/>
            <w:bCs/>
            <w:color w:val="000080"/>
            <w:sz w:val="24"/>
            <w:szCs w:val="24"/>
            <w:u w:val="single"/>
            <w:lang w:eastAsia="pt-BR"/>
          </w:rPr>
          <w:t>2002.</w:t>
        </w:r>
        <w:proofErr w:type="gramEnd"/>
      </w:hyperlink>
    </w:p>
    <w:tbl>
      <w:tblPr>
        <w:tblW w:w="5000" w:type="pct"/>
        <w:tblCellSpacing w:w="0" w:type="dxa"/>
        <w:tblCellMar>
          <w:left w:w="0" w:type="dxa"/>
          <w:right w:w="0" w:type="dxa"/>
        </w:tblCellMar>
        <w:tblLook w:val="04A0" w:firstRow="1" w:lastRow="0" w:firstColumn="1" w:lastColumn="0" w:noHBand="0" w:noVBand="1"/>
      </w:tblPr>
      <w:tblGrid>
        <w:gridCol w:w="4864"/>
        <w:gridCol w:w="4490"/>
      </w:tblGrid>
      <w:tr w:rsidR="00B048A6" w:rsidRPr="00B048A6" w:rsidTr="00B048A6">
        <w:trPr>
          <w:tblCellSpacing w:w="0" w:type="dxa"/>
        </w:trPr>
        <w:tc>
          <w:tcPr>
            <w:tcW w:w="2600" w:type="pct"/>
            <w:vAlign w:val="center"/>
            <w:hideMark/>
          </w:tcPr>
          <w:p w:rsidR="00B048A6" w:rsidRPr="00B048A6" w:rsidRDefault="00B048A6" w:rsidP="00B048A6">
            <w:pPr>
              <w:spacing w:after="0" w:line="240" w:lineRule="auto"/>
              <w:rPr>
                <w:rFonts w:ascii="Times New Roman" w:eastAsia="Times New Roman" w:hAnsi="Times New Roman" w:cs="Times New Roman"/>
                <w:sz w:val="24"/>
                <w:szCs w:val="24"/>
                <w:lang w:eastAsia="pt-BR"/>
              </w:rPr>
            </w:pPr>
            <w:hyperlink r:id="rId6" w:history="1">
              <w:r w:rsidRPr="00B048A6">
                <w:rPr>
                  <w:rFonts w:ascii="Arial" w:eastAsia="Times New Roman" w:hAnsi="Arial" w:cs="Arial"/>
                  <w:color w:val="0000FF"/>
                  <w:sz w:val="20"/>
                  <w:szCs w:val="20"/>
                  <w:u w:val="single"/>
                  <w:lang w:eastAsia="pt-BR"/>
                </w:rPr>
                <w:t>Mensagem de veto</w:t>
              </w:r>
            </w:hyperlink>
          </w:p>
          <w:p w:rsidR="00B048A6" w:rsidRPr="00B048A6" w:rsidRDefault="00B048A6" w:rsidP="00B048A6">
            <w:pPr>
              <w:spacing w:before="100" w:beforeAutospacing="1" w:after="100" w:afterAutospacing="1" w:line="240" w:lineRule="auto"/>
              <w:rPr>
                <w:rFonts w:ascii="Times New Roman" w:eastAsia="Times New Roman" w:hAnsi="Times New Roman" w:cs="Times New Roman"/>
                <w:sz w:val="24"/>
                <w:szCs w:val="24"/>
                <w:lang w:eastAsia="pt-BR"/>
              </w:rPr>
            </w:pPr>
            <w:hyperlink r:id="rId7" w:history="1">
              <w:r w:rsidRPr="00B048A6">
                <w:rPr>
                  <w:rFonts w:ascii="Arial" w:eastAsia="Times New Roman" w:hAnsi="Arial" w:cs="Arial"/>
                  <w:color w:val="0000FF"/>
                  <w:sz w:val="20"/>
                  <w:szCs w:val="20"/>
                  <w:u w:val="single"/>
                  <w:lang w:eastAsia="pt-BR"/>
                </w:rPr>
                <w:t xml:space="preserve">Conversão da </w:t>
              </w:r>
              <w:proofErr w:type="spellStart"/>
              <w:proofErr w:type="gramStart"/>
              <w:r w:rsidRPr="00B048A6">
                <w:rPr>
                  <w:rFonts w:ascii="Arial" w:eastAsia="Times New Roman" w:hAnsi="Arial" w:cs="Arial"/>
                  <w:color w:val="0000FF"/>
                  <w:sz w:val="20"/>
                  <w:szCs w:val="20"/>
                  <w:u w:val="single"/>
                  <w:lang w:eastAsia="pt-BR"/>
                </w:rPr>
                <w:t>MPv</w:t>
              </w:r>
              <w:proofErr w:type="spellEnd"/>
              <w:proofErr w:type="gramEnd"/>
              <w:r w:rsidRPr="00B048A6">
                <w:rPr>
                  <w:rFonts w:ascii="Arial" w:eastAsia="Times New Roman" w:hAnsi="Arial" w:cs="Arial"/>
                  <w:color w:val="0000FF"/>
                  <w:sz w:val="20"/>
                  <w:szCs w:val="20"/>
                  <w:u w:val="single"/>
                  <w:lang w:eastAsia="pt-BR"/>
                </w:rPr>
                <w:t xml:space="preserve"> nº 2.182-18, de 2001</w:t>
              </w:r>
            </w:hyperlink>
          </w:p>
          <w:p w:rsidR="00B048A6" w:rsidRPr="00B048A6" w:rsidRDefault="00B048A6" w:rsidP="00B048A6">
            <w:pPr>
              <w:spacing w:before="100" w:beforeAutospacing="1" w:after="100" w:afterAutospacing="1" w:line="240" w:lineRule="auto"/>
              <w:rPr>
                <w:rFonts w:ascii="Times New Roman" w:eastAsia="Times New Roman" w:hAnsi="Times New Roman" w:cs="Times New Roman"/>
                <w:sz w:val="24"/>
                <w:szCs w:val="24"/>
                <w:lang w:eastAsia="pt-BR"/>
              </w:rPr>
            </w:pPr>
            <w:hyperlink r:id="rId8" w:history="1">
              <w:proofErr w:type="gramStart"/>
              <w:r w:rsidRPr="00B048A6">
                <w:rPr>
                  <w:rFonts w:ascii="Arial" w:eastAsia="Times New Roman" w:hAnsi="Arial" w:cs="Arial"/>
                  <w:color w:val="0000FF"/>
                  <w:sz w:val="20"/>
                  <w:szCs w:val="20"/>
                  <w:u w:val="single"/>
                  <w:lang w:eastAsia="pt-BR"/>
                </w:rPr>
                <w:t>Regulamento.</w:t>
              </w:r>
              <w:proofErr w:type="gramEnd"/>
            </w:hyperlink>
          </w:p>
          <w:p w:rsidR="00B048A6" w:rsidRPr="00B048A6" w:rsidRDefault="00B048A6" w:rsidP="00B048A6">
            <w:pPr>
              <w:spacing w:before="100" w:beforeAutospacing="1" w:after="100" w:afterAutospacing="1" w:line="240" w:lineRule="auto"/>
              <w:rPr>
                <w:rFonts w:ascii="Times New Roman" w:eastAsia="Times New Roman" w:hAnsi="Times New Roman" w:cs="Times New Roman"/>
                <w:sz w:val="24"/>
                <w:szCs w:val="24"/>
                <w:lang w:eastAsia="pt-BR"/>
              </w:rPr>
            </w:pPr>
            <w:hyperlink r:id="rId9" w:history="1">
              <w:proofErr w:type="gramStart"/>
              <w:r w:rsidRPr="00B048A6">
                <w:rPr>
                  <w:rFonts w:ascii="Arial" w:eastAsia="Times New Roman" w:hAnsi="Arial" w:cs="Arial"/>
                  <w:color w:val="0000FF"/>
                  <w:sz w:val="20"/>
                  <w:szCs w:val="20"/>
                  <w:u w:val="single"/>
                  <w:lang w:eastAsia="pt-BR"/>
                </w:rPr>
                <w:t>Regulamento.</w:t>
              </w:r>
              <w:proofErr w:type="gramEnd"/>
            </w:hyperlink>
          </w:p>
        </w:tc>
        <w:tc>
          <w:tcPr>
            <w:tcW w:w="2400" w:type="pct"/>
            <w:vAlign w:val="center"/>
            <w:hideMark/>
          </w:tcPr>
          <w:p w:rsidR="00B048A6" w:rsidRPr="00B048A6" w:rsidRDefault="00B048A6" w:rsidP="00B048A6">
            <w:pPr>
              <w:spacing w:before="100" w:beforeAutospacing="1" w:after="100" w:afterAutospacing="1" w:line="240" w:lineRule="atLeast"/>
              <w:jc w:val="both"/>
              <w:rPr>
                <w:rFonts w:ascii="Times New Roman" w:eastAsia="Times New Roman" w:hAnsi="Times New Roman" w:cs="Times New Roman"/>
                <w:sz w:val="24"/>
                <w:szCs w:val="24"/>
                <w:lang w:eastAsia="pt-BR"/>
              </w:rPr>
            </w:pPr>
            <w:r w:rsidRPr="00B048A6">
              <w:rPr>
                <w:rFonts w:ascii="Arial" w:eastAsia="Times New Roman" w:hAnsi="Arial" w:cs="Arial"/>
                <w:color w:val="800000"/>
                <w:sz w:val="20"/>
                <w:szCs w:val="20"/>
                <w:lang w:eastAsia="pt-BR"/>
              </w:rPr>
              <w:t>Institui, no âmbito da União, Estados, Distrito Federal e Municípios, nos termos do art. 37, inciso XXI, da Constituição Federal, modalidade de licitação denominada pregão, para aquisição de bens e serviços comuns, e dá outras providências.</w:t>
            </w:r>
          </w:p>
        </w:tc>
      </w:tr>
    </w:tbl>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proofErr w:type="gramStart"/>
      <w:r w:rsidRPr="00B048A6">
        <w:rPr>
          <w:rFonts w:ascii="Arial" w:eastAsia="Times New Roman" w:hAnsi="Arial" w:cs="Arial"/>
          <w:b/>
          <w:bCs/>
          <w:color w:val="000000"/>
          <w:sz w:val="24"/>
          <w:szCs w:val="24"/>
          <w:lang w:eastAsia="pt-BR"/>
        </w:rPr>
        <w:t>O PRESIDENTE DA REPÚBLICA</w:t>
      </w:r>
      <w:r w:rsidRPr="00B048A6">
        <w:rPr>
          <w:rFonts w:ascii="Arial" w:eastAsia="Times New Roman" w:hAnsi="Arial" w:cs="Arial"/>
          <w:color w:val="000000"/>
          <w:sz w:val="24"/>
          <w:szCs w:val="24"/>
          <w:lang w:eastAsia="pt-BR"/>
        </w:rPr>
        <w:t> Faço</w:t>
      </w:r>
      <w:proofErr w:type="gramEnd"/>
      <w:r w:rsidRPr="00B048A6">
        <w:rPr>
          <w:rFonts w:ascii="Arial" w:eastAsia="Times New Roman" w:hAnsi="Arial" w:cs="Arial"/>
          <w:color w:val="000000"/>
          <w:sz w:val="24"/>
          <w:szCs w:val="24"/>
          <w:lang w:eastAsia="pt-BR"/>
        </w:rPr>
        <w:t xml:space="preserve"> saber que o Congresso Nacional decreta e eu sanciono a seguinte Lei:</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0" w:name="art1"/>
      <w:bookmarkEnd w:id="0"/>
      <w:r w:rsidRPr="00B048A6">
        <w:rPr>
          <w:rFonts w:ascii="Arial" w:eastAsia="Times New Roman" w:hAnsi="Arial" w:cs="Arial"/>
          <w:color w:val="000000"/>
          <w:sz w:val="24"/>
          <w:szCs w:val="24"/>
          <w:lang w:eastAsia="pt-BR"/>
        </w:rPr>
        <w:t>Art. 1º  Para aquisição de bens e serviços comuns, poderá ser adotada a licitação na modalidade de pregão, que será regida por esta Lei.</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1" w:name="art1p"/>
      <w:bookmarkEnd w:id="1"/>
      <w:r w:rsidRPr="00B048A6">
        <w:rPr>
          <w:rFonts w:ascii="Arial" w:eastAsia="Times New Roman" w:hAnsi="Arial" w:cs="Arial"/>
          <w:color w:val="000000"/>
          <w:sz w:val="24"/>
          <w:szCs w:val="24"/>
          <w:lang w:eastAsia="pt-BR"/>
        </w:rPr>
        <w:t>Parágrafo único.  Consideram-se bens e serviços comuns, para os fins e efeitos deste artigo, aqueles cujos padrões de desempenho e qualidade possam ser objetivamente definidos pelo edital, por meio de especificações usuais no mercado.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 w:name="art2"/>
      <w:bookmarkEnd w:id="2"/>
      <w:r w:rsidRPr="00B048A6">
        <w:rPr>
          <w:rFonts w:ascii="Arial" w:eastAsia="Times New Roman" w:hAnsi="Arial" w:cs="Arial"/>
          <w:color w:val="000000"/>
          <w:sz w:val="24"/>
          <w:szCs w:val="24"/>
          <w:lang w:eastAsia="pt-BR"/>
        </w:rPr>
        <w:t>Art. 2º </w:t>
      </w:r>
      <w:hyperlink r:id="rId10" w:history="1">
        <w:r w:rsidRPr="00B048A6">
          <w:rPr>
            <w:rFonts w:ascii="Arial" w:eastAsia="Times New Roman" w:hAnsi="Arial" w:cs="Arial"/>
            <w:color w:val="0000FF"/>
            <w:sz w:val="24"/>
            <w:szCs w:val="24"/>
            <w:u w:val="single"/>
            <w:lang w:eastAsia="pt-BR"/>
          </w:rPr>
          <w:t>(VETADO)</w:t>
        </w:r>
      </w:hyperlink>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 w:name="art2§1"/>
      <w:bookmarkEnd w:id="3"/>
      <w:r w:rsidRPr="00B048A6">
        <w:rPr>
          <w:rFonts w:ascii="Arial" w:eastAsia="Times New Roman" w:hAnsi="Arial" w:cs="Arial"/>
          <w:color w:val="000000"/>
          <w:sz w:val="24"/>
          <w:szCs w:val="24"/>
          <w:lang w:eastAsia="pt-BR"/>
        </w:rPr>
        <w:t>§ 1º  Poderá ser realizado o pregão por meio da utilização de recursos de tecnologia da informação, nos termos de regulamentação específica.</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4" w:name="art2§2"/>
      <w:bookmarkEnd w:id="4"/>
      <w:r w:rsidRPr="00B048A6">
        <w:rPr>
          <w:rFonts w:ascii="Arial" w:eastAsia="Times New Roman" w:hAnsi="Arial" w:cs="Arial"/>
          <w:color w:val="000000"/>
          <w:sz w:val="24"/>
          <w:szCs w:val="24"/>
          <w:lang w:eastAsia="pt-BR"/>
        </w:rPr>
        <w:t>§ 2º  Será facultado, nos termos de regulamentos próprios da União, Estados, Distrito Federal e Municípios, a participação de bolsas de mercadorias no apoio técnico e operacional aos órgãos e entidades promotores da modalidade de pregão, utilizando-se de recursos de tecnologia da informação.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5" w:name="art2§3"/>
      <w:bookmarkEnd w:id="5"/>
      <w:r w:rsidRPr="00B048A6">
        <w:rPr>
          <w:rFonts w:ascii="Arial" w:eastAsia="Times New Roman" w:hAnsi="Arial" w:cs="Arial"/>
          <w:color w:val="000000"/>
          <w:sz w:val="24"/>
          <w:szCs w:val="24"/>
          <w:lang w:eastAsia="pt-BR"/>
        </w:rPr>
        <w:t>§ 3º  As bolsas a que se referem o § 2o deverão estar organizadas sob a forma de sociedades civis sem fins lucrativos e com a participação plural de corretoras que operem sistemas eletrônicos unificados de pregões.</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6" w:name="art3"/>
      <w:bookmarkEnd w:id="6"/>
      <w:r w:rsidRPr="00B048A6">
        <w:rPr>
          <w:rFonts w:ascii="Arial" w:eastAsia="Times New Roman" w:hAnsi="Arial" w:cs="Arial"/>
          <w:color w:val="000000"/>
          <w:sz w:val="24"/>
          <w:szCs w:val="24"/>
          <w:lang w:eastAsia="pt-BR"/>
        </w:rPr>
        <w:t>Art. 3º  A fase preparatória do pregão observará o seguinte:</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7" w:name="art3i"/>
      <w:bookmarkEnd w:id="7"/>
      <w:r w:rsidRPr="00B048A6">
        <w:rPr>
          <w:rFonts w:ascii="Arial" w:eastAsia="Times New Roman" w:hAnsi="Arial" w:cs="Arial"/>
          <w:color w:val="000000"/>
          <w:sz w:val="24"/>
          <w:szCs w:val="24"/>
          <w:lang w:eastAsia="pt-BR"/>
        </w:rPr>
        <w:t>I - a autoridade competente justificará a necessidade de contratação e definirá o objeto do certame, as exigências de habilitação, os critérios de aceitação das propostas, as sanções por inadimplemento e as cláusulas do contrato, inclusive com fixação dos prazos para fornecimento;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8" w:name="art3ii"/>
      <w:bookmarkEnd w:id="8"/>
      <w:r w:rsidRPr="00B048A6">
        <w:rPr>
          <w:rFonts w:ascii="Arial" w:eastAsia="Times New Roman" w:hAnsi="Arial" w:cs="Arial"/>
          <w:color w:val="000000"/>
          <w:sz w:val="24"/>
          <w:szCs w:val="24"/>
          <w:lang w:eastAsia="pt-BR"/>
        </w:rPr>
        <w:t>II - a definição do objeto deverá ser precisa, suficiente e clara, vedadas especificações que, por excessivas, irrelevantes ou desnecessárias, limitem a competição;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9" w:name="art3iii"/>
      <w:bookmarkEnd w:id="9"/>
      <w:r w:rsidRPr="00B048A6">
        <w:rPr>
          <w:rFonts w:ascii="Arial" w:eastAsia="Times New Roman" w:hAnsi="Arial" w:cs="Arial"/>
          <w:color w:val="000000"/>
          <w:sz w:val="24"/>
          <w:szCs w:val="24"/>
          <w:lang w:eastAsia="pt-BR"/>
        </w:rPr>
        <w:t xml:space="preserve">III - dos autos do procedimento constarão a justificativa das definições referidas no inciso I deste artigo e os indispensáveis elementos técnicos sobre os quais estiverem </w:t>
      </w:r>
      <w:proofErr w:type="gramStart"/>
      <w:r w:rsidRPr="00B048A6">
        <w:rPr>
          <w:rFonts w:ascii="Arial" w:eastAsia="Times New Roman" w:hAnsi="Arial" w:cs="Arial"/>
          <w:color w:val="000000"/>
          <w:sz w:val="24"/>
          <w:szCs w:val="24"/>
          <w:lang w:eastAsia="pt-BR"/>
        </w:rPr>
        <w:lastRenderedPageBreak/>
        <w:t>apoiados, bem como o orçamento, elaborado</w:t>
      </w:r>
      <w:proofErr w:type="gramEnd"/>
      <w:r w:rsidRPr="00B048A6">
        <w:rPr>
          <w:rFonts w:ascii="Arial" w:eastAsia="Times New Roman" w:hAnsi="Arial" w:cs="Arial"/>
          <w:color w:val="000000"/>
          <w:sz w:val="24"/>
          <w:szCs w:val="24"/>
          <w:lang w:eastAsia="pt-BR"/>
        </w:rPr>
        <w:t xml:space="preserve"> pelo órgão ou entidade promotora da     licitação, dos bens ou serviços a serem licitados; e</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10" w:name="art3iv"/>
      <w:bookmarkEnd w:id="10"/>
      <w:r w:rsidRPr="00B048A6">
        <w:rPr>
          <w:rFonts w:ascii="Arial" w:eastAsia="Times New Roman" w:hAnsi="Arial" w:cs="Arial"/>
          <w:color w:val="000000"/>
          <w:sz w:val="24"/>
          <w:szCs w:val="24"/>
          <w:lang w:eastAsia="pt-BR"/>
        </w:rPr>
        <w:t>IV - a autoridade competente designará, dentre os servidores do órgão ou entidade promotora da licitação, o pregoeiro e respectiva equipe de apoio, cuja atribuição inclui, dentre outras, o recebimento das propostas e lances, a análise de sua aceitabilidade e sua classificação, bem como a habilitação e a adjudicação do objeto do certame ao licitante vencedor.</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11" w:name="art3§1"/>
      <w:bookmarkEnd w:id="11"/>
      <w:r w:rsidRPr="00B048A6">
        <w:rPr>
          <w:rFonts w:ascii="Arial" w:eastAsia="Times New Roman" w:hAnsi="Arial" w:cs="Arial"/>
          <w:color w:val="000000"/>
          <w:sz w:val="24"/>
          <w:szCs w:val="24"/>
          <w:lang w:eastAsia="pt-BR"/>
        </w:rPr>
        <w:t>§ 1º  A equipe de apoio deverá ser integrada em sua maioria por servidores ocupantes de cargo efetivo ou emprego da administração, preferencialmente pertencentes ao quadro permanente do órgão ou entidade promotora do evento.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12" w:name="art3§2"/>
      <w:bookmarkEnd w:id="12"/>
      <w:r w:rsidRPr="00B048A6">
        <w:rPr>
          <w:rFonts w:ascii="Arial" w:eastAsia="Times New Roman" w:hAnsi="Arial" w:cs="Arial"/>
          <w:color w:val="000000"/>
          <w:sz w:val="24"/>
          <w:szCs w:val="24"/>
          <w:lang w:eastAsia="pt-BR"/>
        </w:rPr>
        <w:t xml:space="preserve">§ 2º  No âmbito do Ministério da Defesa, as funções de pregoeiro e de membro da equipe de apoio poderão ser desempenhadas por </w:t>
      </w:r>
      <w:proofErr w:type="gramStart"/>
      <w:r w:rsidRPr="00B048A6">
        <w:rPr>
          <w:rFonts w:ascii="Arial" w:eastAsia="Times New Roman" w:hAnsi="Arial" w:cs="Arial"/>
          <w:color w:val="000000"/>
          <w:sz w:val="24"/>
          <w:szCs w:val="24"/>
          <w:lang w:eastAsia="pt-BR"/>
        </w:rPr>
        <w:t>militares</w:t>
      </w:r>
      <w:proofErr w:type="gramEnd"/>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13" w:name="art4"/>
      <w:bookmarkEnd w:id="13"/>
      <w:r w:rsidRPr="00B048A6">
        <w:rPr>
          <w:rFonts w:ascii="Arial" w:eastAsia="Times New Roman" w:hAnsi="Arial" w:cs="Arial"/>
          <w:color w:val="000000"/>
          <w:sz w:val="24"/>
          <w:szCs w:val="24"/>
          <w:lang w:eastAsia="pt-BR"/>
        </w:rPr>
        <w:t>Art. 4º  A fase externa do pregão será iniciada com a convocação dos interessados e observará as seguintes regras:</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14" w:name="art4i"/>
      <w:bookmarkStart w:id="15" w:name="art4i.0"/>
      <w:bookmarkStart w:id="16" w:name="_GoBack"/>
      <w:bookmarkEnd w:id="14"/>
      <w:bookmarkEnd w:id="15"/>
      <w:bookmarkEnd w:id="16"/>
      <w:r w:rsidRPr="00B048A6">
        <w:rPr>
          <w:rFonts w:ascii="Arial" w:eastAsia="Times New Roman" w:hAnsi="Arial" w:cs="Arial"/>
          <w:color w:val="000000"/>
          <w:sz w:val="24"/>
          <w:szCs w:val="24"/>
          <w:lang w:eastAsia="pt-BR"/>
        </w:rPr>
        <w:t>I - </w:t>
      </w:r>
      <w:r w:rsidRPr="00B048A6">
        <w:rPr>
          <w:rFonts w:ascii="Arial" w:eastAsia="Times New Roman" w:hAnsi="Arial" w:cs="Arial"/>
          <w:color w:val="000000"/>
          <w:sz w:val="24"/>
          <w:szCs w:val="24"/>
          <w:shd w:val="clear" w:color="auto" w:fill="FFFFFF"/>
          <w:lang w:eastAsia="pt-BR"/>
        </w:rPr>
        <w:t>a convocação dos interessados será efetuada por meio de publicação de aviso na imprensa oficial e em sítio eletrônico oficial do respectivo ente federativo,</w:t>
      </w:r>
      <w:r w:rsidRPr="00B048A6">
        <w:rPr>
          <w:rFonts w:ascii="Arial" w:eastAsia="Times New Roman" w:hAnsi="Arial" w:cs="Arial"/>
          <w:color w:val="000000"/>
          <w:sz w:val="24"/>
          <w:szCs w:val="24"/>
          <w:lang w:eastAsia="pt-BR"/>
        </w:rPr>
        <w:t> facultado aos Estados, ao Distrito Federal e aos Municípios, alternativamente, a utilização de sítio eletrônico oficial da União, conforme regulamento do Poder Executivo federal</w:t>
      </w:r>
      <w:r w:rsidRPr="00B048A6">
        <w:rPr>
          <w:rFonts w:ascii="Arial" w:eastAsia="Times New Roman" w:hAnsi="Arial" w:cs="Arial"/>
          <w:color w:val="000000"/>
          <w:sz w:val="24"/>
          <w:szCs w:val="24"/>
          <w:shd w:val="clear" w:color="auto" w:fill="FFFFFF"/>
          <w:lang w:eastAsia="pt-BR"/>
        </w:rPr>
        <w:t>;</w:t>
      </w:r>
      <w:r w:rsidRPr="00B048A6">
        <w:rPr>
          <w:rFonts w:ascii="Arial" w:eastAsia="Times New Roman" w:hAnsi="Arial" w:cs="Arial"/>
          <w:color w:val="000000"/>
          <w:sz w:val="24"/>
          <w:szCs w:val="24"/>
          <w:lang w:eastAsia="pt-BR"/>
        </w:rPr>
        <w:t>              </w:t>
      </w:r>
      <w:hyperlink r:id="rId11" w:anchor="art3" w:history="1">
        <w:r w:rsidRPr="00B048A6">
          <w:rPr>
            <w:rFonts w:ascii="Arial" w:eastAsia="Times New Roman" w:hAnsi="Arial" w:cs="Arial"/>
            <w:color w:val="0000FF"/>
            <w:sz w:val="24"/>
            <w:szCs w:val="24"/>
            <w:u w:val="single"/>
            <w:lang w:eastAsia="pt-BR"/>
          </w:rPr>
          <w:t>(Redação dada pela Medida Provisória nº 896, de 2019)</w:t>
        </w:r>
      </w:hyperlink>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17" w:name="art4ii"/>
      <w:bookmarkEnd w:id="17"/>
      <w:r w:rsidRPr="00B048A6">
        <w:rPr>
          <w:rFonts w:ascii="Arial" w:eastAsia="Times New Roman" w:hAnsi="Arial" w:cs="Arial"/>
          <w:color w:val="000000"/>
          <w:sz w:val="24"/>
          <w:szCs w:val="24"/>
          <w:lang w:eastAsia="pt-BR"/>
        </w:rPr>
        <w:t xml:space="preserve">II - do aviso constarão a definição do objeto da licitação, a indicação do local, dias e horários em que poderá ser lida ou obtida </w:t>
      </w:r>
      <w:proofErr w:type="gramStart"/>
      <w:r w:rsidRPr="00B048A6">
        <w:rPr>
          <w:rFonts w:ascii="Arial" w:eastAsia="Times New Roman" w:hAnsi="Arial" w:cs="Arial"/>
          <w:color w:val="000000"/>
          <w:sz w:val="24"/>
          <w:szCs w:val="24"/>
          <w:lang w:eastAsia="pt-BR"/>
        </w:rPr>
        <w:t>a</w:t>
      </w:r>
      <w:proofErr w:type="gramEnd"/>
      <w:r w:rsidRPr="00B048A6">
        <w:rPr>
          <w:rFonts w:ascii="Arial" w:eastAsia="Times New Roman" w:hAnsi="Arial" w:cs="Arial"/>
          <w:color w:val="000000"/>
          <w:sz w:val="24"/>
          <w:szCs w:val="24"/>
          <w:lang w:eastAsia="pt-BR"/>
        </w:rPr>
        <w:t xml:space="preserve"> íntegra do edital;</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18" w:name="art4iii"/>
      <w:bookmarkEnd w:id="18"/>
      <w:r w:rsidRPr="00B048A6">
        <w:rPr>
          <w:rFonts w:ascii="Arial" w:eastAsia="Times New Roman" w:hAnsi="Arial" w:cs="Arial"/>
          <w:color w:val="000000"/>
          <w:sz w:val="24"/>
          <w:szCs w:val="24"/>
          <w:lang w:eastAsia="pt-BR"/>
        </w:rPr>
        <w:t>III - do edital constarão todos os elementos definidos na forma do inciso I do art. 3º, as normas que disciplinarem o procedimento e a minuta do contrato, quando for o caso;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19" w:name="art4iv"/>
      <w:bookmarkEnd w:id="19"/>
      <w:r w:rsidRPr="00B048A6">
        <w:rPr>
          <w:rFonts w:ascii="Arial" w:eastAsia="Times New Roman" w:hAnsi="Arial" w:cs="Arial"/>
          <w:color w:val="000000"/>
          <w:sz w:val="24"/>
          <w:szCs w:val="24"/>
          <w:lang w:eastAsia="pt-BR"/>
        </w:rPr>
        <w:t>IV - cópias do edital e do respectivo aviso serão colocadas à disposição de qualquer pessoa para consulta e divulgadas na forma da </w:t>
      </w:r>
      <w:hyperlink r:id="rId12" w:history="1">
        <w:r w:rsidRPr="00B048A6">
          <w:rPr>
            <w:rFonts w:ascii="Arial" w:eastAsia="Times New Roman" w:hAnsi="Arial" w:cs="Arial"/>
            <w:color w:val="0000FF"/>
            <w:sz w:val="24"/>
            <w:szCs w:val="24"/>
            <w:u w:val="single"/>
            <w:lang w:eastAsia="pt-BR"/>
          </w:rPr>
          <w:t xml:space="preserve">Lei no 9.755, de 16 de dezembro de </w:t>
        </w:r>
        <w:proofErr w:type="gramStart"/>
        <w:r w:rsidRPr="00B048A6">
          <w:rPr>
            <w:rFonts w:ascii="Arial" w:eastAsia="Times New Roman" w:hAnsi="Arial" w:cs="Arial"/>
            <w:color w:val="0000FF"/>
            <w:sz w:val="24"/>
            <w:szCs w:val="24"/>
            <w:u w:val="single"/>
            <w:lang w:eastAsia="pt-BR"/>
          </w:rPr>
          <w:t>1998;</w:t>
        </w:r>
        <w:proofErr w:type="gramEnd"/>
      </w:hyperlink>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0" w:name="art4v"/>
      <w:bookmarkEnd w:id="20"/>
      <w:r w:rsidRPr="00B048A6">
        <w:rPr>
          <w:rFonts w:ascii="Arial" w:eastAsia="Times New Roman" w:hAnsi="Arial" w:cs="Arial"/>
          <w:color w:val="000000"/>
          <w:sz w:val="24"/>
          <w:szCs w:val="24"/>
          <w:lang w:eastAsia="pt-BR"/>
        </w:rPr>
        <w:t xml:space="preserve">V - o prazo fixado para a apresentação das propostas, contado a partir da publicação do aviso, não será inferior a </w:t>
      </w:r>
      <w:proofErr w:type="gramStart"/>
      <w:r w:rsidRPr="00B048A6">
        <w:rPr>
          <w:rFonts w:ascii="Arial" w:eastAsia="Times New Roman" w:hAnsi="Arial" w:cs="Arial"/>
          <w:color w:val="000000"/>
          <w:sz w:val="24"/>
          <w:szCs w:val="24"/>
          <w:lang w:eastAsia="pt-BR"/>
        </w:rPr>
        <w:t>8</w:t>
      </w:r>
      <w:proofErr w:type="gramEnd"/>
      <w:r w:rsidRPr="00B048A6">
        <w:rPr>
          <w:rFonts w:ascii="Arial" w:eastAsia="Times New Roman" w:hAnsi="Arial" w:cs="Arial"/>
          <w:color w:val="000000"/>
          <w:sz w:val="24"/>
          <w:szCs w:val="24"/>
          <w:lang w:eastAsia="pt-BR"/>
        </w:rPr>
        <w:t xml:space="preserve"> (oito) dias úteis;</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1" w:name="art4vi"/>
      <w:bookmarkEnd w:id="21"/>
      <w:r w:rsidRPr="00B048A6">
        <w:rPr>
          <w:rFonts w:ascii="Arial" w:eastAsia="Times New Roman" w:hAnsi="Arial" w:cs="Arial"/>
          <w:color w:val="000000"/>
          <w:sz w:val="24"/>
          <w:szCs w:val="24"/>
          <w:lang w:eastAsia="pt-BR"/>
        </w:rPr>
        <w:t>VI - no dia, hora e local designados, será realizada sessão pública para recebimento das propostas, devendo o interessado, ou seu representante, identificar-se e, se for o caso, comprovar a existência dos necessários poderes para formulação de propostas e para a prática de todos os demais atos inerentes ao certame;</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2" w:name="art4vii"/>
      <w:bookmarkEnd w:id="22"/>
      <w:r w:rsidRPr="00B048A6">
        <w:rPr>
          <w:rFonts w:ascii="Arial" w:eastAsia="Times New Roman" w:hAnsi="Arial" w:cs="Arial"/>
          <w:color w:val="000000"/>
          <w:sz w:val="24"/>
          <w:szCs w:val="24"/>
          <w:lang w:eastAsia="pt-BR"/>
        </w:rPr>
        <w:t>VII - aberta a sessão, os interessados ou seus representantes, apresentarão declaração dando ciência de que cumprem plenamente os requisitos de habilitação e entregarão os envelopes contendo a indicação do objeto e do preço oferecidos, procedendo-se à sua imediata abertura e à verificação da conformidade das propostas com os requisitos estabelecidos no instrumento convocatório;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3" w:name="art4viii"/>
      <w:bookmarkEnd w:id="23"/>
      <w:r w:rsidRPr="00B048A6">
        <w:rPr>
          <w:rFonts w:ascii="Arial" w:eastAsia="Times New Roman" w:hAnsi="Arial" w:cs="Arial"/>
          <w:color w:val="000000"/>
          <w:sz w:val="24"/>
          <w:szCs w:val="24"/>
          <w:lang w:eastAsia="pt-BR"/>
        </w:rPr>
        <w:t>VIII - no curso da sessão, o autor da oferta de valor mais baixo e os das ofertas com preços até 10% (dez por cento) superiores àquela poderão fazer novos lances verbais e sucessivos, até a proclamação do vencedor;</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4" w:name="art4ix"/>
      <w:bookmarkEnd w:id="24"/>
      <w:r w:rsidRPr="00B048A6">
        <w:rPr>
          <w:rFonts w:ascii="Arial" w:eastAsia="Times New Roman" w:hAnsi="Arial" w:cs="Arial"/>
          <w:color w:val="000000"/>
          <w:sz w:val="24"/>
          <w:szCs w:val="24"/>
          <w:lang w:eastAsia="pt-BR"/>
        </w:rPr>
        <w:lastRenderedPageBreak/>
        <w:t xml:space="preserve">IX - não havendo pelo menos </w:t>
      </w:r>
      <w:proofErr w:type="gramStart"/>
      <w:r w:rsidRPr="00B048A6">
        <w:rPr>
          <w:rFonts w:ascii="Arial" w:eastAsia="Times New Roman" w:hAnsi="Arial" w:cs="Arial"/>
          <w:color w:val="000000"/>
          <w:sz w:val="24"/>
          <w:szCs w:val="24"/>
          <w:lang w:eastAsia="pt-BR"/>
        </w:rPr>
        <w:t>3</w:t>
      </w:r>
      <w:proofErr w:type="gramEnd"/>
      <w:r w:rsidRPr="00B048A6">
        <w:rPr>
          <w:rFonts w:ascii="Arial" w:eastAsia="Times New Roman" w:hAnsi="Arial" w:cs="Arial"/>
          <w:color w:val="000000"/>
          <w:sz w:val="24"/>
          <w:szCs w:val="24"/>
          <w:lang w:eastAsia="pt-BR"/>
        </w:rPr>
        <w:t xml:space="preserve"> (três) ofertas nas condições definidas no inciso anterior, poderão os autores das melhores propostas, até o máximo de 3 (três), oferecer novos lances verbais e sucessivos, quaisquer que sejam os preços oferecidos;</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5" w:name="art4x"/>
      <w:bookmarkEnd w:id="25"/>
      <w:r w:rsidRPr="00B048A6">
        <w:rPr>
          <w:rFonts w:ascii="Arial" w:eastAsia="Times New Roman" w:hAnsi="Arial" w:cs="Arial"/>
          <w:color w:val="000000"/>
          <w:sz w:val="24"/>
          <w:szCs w:val="24"/>
          <w:lang w:eastAsia="pt-BR"/>
        </w:rPr>
        <w:t>X - para julgamento e classificação das propostas, será adotado o critério de menor preço, observados os prazos máximos para fornecimento, as especificações técnicas e parâmetros mínimos de desempenho e qualidade definidos no edital;</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6" w:name="art4xi"/>
      <w:bookmarkEnd w:id="26"/>
      <w:r w:rsidRPr="00B048A6">
        <w:rPr>
          <w:rFonts w:ascii="Arial" w:eastAsia="Times New Roman" w:hAnsi="Arial" w:cs="Arial"/>
          <w:color w:val="000000"/>
          <w:sz w:val="24"/>
          <w:szCs w:val="24"/>
          <w:lang w:eastAsia="pt-BR"/>
        </w:rPr>
        <w:t>XI - examinada a proposta classificada em primeiro lugar, quanto ao objeto e valor, caberá ao pregoeiro decidir motivadamente a respeito da sua aceitabilidade;</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7" w:name="art4xii"/>
      <w:bookmarkEnd w:id="27"/>
      <w:r w:rsidRPr="00B048A6">
        <w:rPr>
          <w:rFonts w:ascii="Arial" w:eastAsia="Times New Roman" w:hAnsi="Arial" w:cs="Arial"/>
          <w:color w:val="000000"/>
          <w:sz w:val="24"/>
          <w:szCs w:val="24"/>
          <w:lang w:eastAsia="pt-BR"/>
        </w:rPr>
        <w:t>XII - encerrada a etapa competitiva e ordenadas as ofertas, o pregoeiro procederá à abertura do invólucro contendo os documentos de habilitação do licitante que apresentou a melhor proposta, para verificação do atendimento das condições fixadas no edital;</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8" w:name="art4xiii"/>
      <w:bookmarkEnd w:id="28"/>
      <w:r w:rsidRPr="00B048A6">
        <w:rPr>
          <w:rFonts w:ascii="Arial" w:eastAsia="Times New Roman" w:hAnsi="Arial" w:cs="Arial"/>
          <w:color w:val="000000"/>
          <w:sz w:val="24"/>
          <w:szCs w:val="24"/>
          <w:lang w:eastAsia="pt-BR"/>
        </w:rPr>
        <w:t>XIII - a habilitação far-se-á com a verificação de que o licitante está em situação regular perante a Fazenda Nacional, a Seguridade Social e o Fundo de Garantia do Tempo de Serviço - FGTS, e as Fazendas Estaduais e Municipais, quando for o caso, com a comprovação de que atende às exigências do edital quanto à habilitação jurídica e qualificações técnica e econômico-financeira;</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29" w:name="art4xiv"/>
      <w:bookmarkEnd w:id="29"/>
      <w:r w:rsidRPr="00B048A6">
        <w:rPr>
          <w:rFonts w:ascii="Arial" w:eastAsia="Times New Roman" w:hAnsi="Arial" w:cs="Arial"/>
          <w:color w:val="000000"/>
          <w:sz w:val="24"/>
          <w:szCs w:val="24"/>
          <w:lang w:eastAsia="pt-BR"/>
        </w:rPr>
        <w:t xml:space="preserve">XIV - os licitantes poderão deixar de apresentar os documentos de habilitação que já constem do Sistema de Cadastramento Unificado de Fornecedores – </w:t>
      </w:r>
      <w:proofErr w:type="spellStart"/>
      <w:r w:rsidRPr="00B048A6">
        <w:rPr>
          <w:rFonts w:ascii="Arial" w:eastAsia="Times New Roman" w:hAnsi="Arial" w:cs="Arial"/>
          <w:color w:val="000000"/>
          <w:sz w:val="24"/>
          <w:szCs w:val="24"/>
          <w:lang w:eastAsia="pt-BR"/>
        </w:rPr>
        <w:t>Sicaf</w:t>
      </w:r>
      <w:proofErr w:type="spellEnd"/>
      <w:r w:rsidRPr="00B048A6">
        <w:rPr>
          <w:rFonts w:ascii="Arial" w:eastAsia="Times New Roman" w:hAnsi="Arial" w:cs="Arial"/>
          <w:color w:val="000000"/>
          <w:sz w:val="24"/>
          <w:szCs w:val="24"/>
          <w:lang w:eastAsia="pt-BR"/>
        </w:rPr>
        <w:t xml:space="preserve"> e sistemas semelhantes mantidos por Estados, Distrito Federal ou Municípios, assegurado aos demais licitantes o direito de acesso aos dados nele constantes;</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0" w:name="art4xv"/>
      <w:bookmarkEnd w:id="30"/>
      <w:r w:rsidRPr="00B048A6">
        <w:rPr>
          <w:rFonts w:ascii="Arial" w:eastAsia="Times New Roman" w:hAnsi="Arial" w:cs="Arial"/>
          <w:color w:val="000000"/>
          <w:sz w:val="24"/>
          <w:szCs w:val="24"/>
          <w:lang w:eastAsia="pt-BR"/>
        </w:rPr>
        <w:t>XV - verificado o atendimento das exigências fixadas no edital, o licitante será declarado vencedor;</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1" w:name="art4xvi"/>
      <w:bookmarkEnd w:id="31"/>
      <w:r w:rsidRPr="00B048A6">
        <w:rPr>
          <w:rFonts w:ascii="Arial" w:eastAsia="Times New Roman" w:hAnsi="Arial" w:cs="Arial"/>
          <w:color w:val="000000"/>
          <w:sz w:val="24"/>
          <w:szCs w:val="24"/>
          <w:lang w:eastAsia="pt-BR"/>
        </w:rPr>
        <w:t xml:space="preserve">XVI - se a oferta não for aceitável ou se o licitante desatender às exigências </w:t>
      </w:r>
      <w:proofErr w:type="spellStart"/>
      <w:r w:rsidRPr="00B048A6">
        <w:rPr>
          <w:rFonts w:ascii="Arial" w:eastAsia="Times New Roman" w:hAnsi="Arial" w:cs="Arial"/>
          <w:color w:val="000000"/>
          <w:sz w:val="24"/>
          <w:szCs w:val="24"/>
          <w:lang w:eastAsia="pt-BR"/>
        </w:rPr>
        <w:t>habilitatórias</w:t>
      </w:r>
      <w:proofErr w:type="spellEnd"/>
      <w:r w:rsidRPr="00B048A6">
        <w:rPr>
          <w:rFonts w:ascii="Arial" w:eastAsia="Times New Roman" w:hAnsi="Arial" w:cs="Arial"/>
          <w:color w:val="000000"/>
          <w:sz w:val="24"/>
          <w:szCs w:val="24"/>
          <w:lang w:eastAsia="pt-BR"/>
        </w:rPr>
        <w:t xml:space="preserve">, o pregoeiro examinará as ofertas </w:t>
      </w:r>
      <w:proofErr w:type="spellStart"/>
      <w:r w:rsidRPr="00B048A6">
        <w:rPr>
          <w:rFonts w:ascii="Arial" w:eastAsia="Times New Roman" w:hAnsi="Arial" w:cs="Arial"/>
          <w:color w:val="000000"/>
          <w:sz w:val="24"/>
          <w:szCs w:val="24"/>
          <w:lang w:eastAsia="pt-BR"/>
        </w:rPr>
        <w:t>subseqüentes</w:t>
      </w:r>
      <w:proofErr w:type="spellEnd"/>
      <w:r w:rsidRPr="00B048A6">
        <w:rPr>
          <w:rFonts w:ascii="Arial" w:eastAsia="Times New Roman" w:hAnsi="Arial" w:cs="Arial"/>
          <w:color w:val="000000"/>
          <w:sz w:val="24"/>
          <w:szCs w:val="24"/>
          <w:lang w:eastAsia="pt-BR"/>
        </w:rPr>
        <w:t xml:space="preserve"> e a qualificação dos licitantes, na ordem de classificação, e assim sucessivamente, até a apuração de uma que atenda ao edital, sendo o respectivo licitante declarado vencedor;</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2" w:name="art4xvii"/>
      <w:bookmarkEnd w:id="32"/>
      <w:r w:rsidRPr="00B048A6">
        <w:rPr>
          <w:rFonts w:ascii="Arial" w:eastAsia="Times New Roman" w:hAnsi="Arial" w:cs="Arial"/>
          <w:color w:val="000000"/>
          <w:sz w:val="24"/>
          <w:szCs w:val="24"/>
          <w:lang w:eastAsia="pt-BR"/>
        </w:rPr>
        <w:t>XVII - nas situações previstas nos incisos XI e XVI, o pregoeiro poderá negociar diretamente com o proponente para que seja obtido preço melhor;</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3" w:name="art4xviii"/>
      <w:bookmarkEnd w:id="33"/>
      <w:r w:rsidRPr="00B048A6">
        <w:rPr>
          <w:rFonts w:ascii="Arial" w:eastAsia="Times New Roman" w:hAnsi="Arial" w:cs="Arial"/>
          <w:color w:val="000000"/>
          <w:sz w:val="24"/>
          <w:szCs w:val="24"/>
          <w:lang w:eastAsia="pt-BR"/>
        </w:rPr>
        <w:t xml:space="preserve">XVIII - declarado o vencedor, qualquer licitante poderá manifestar imediata e motivadamente a intenção de recorrer, quando lhe será concedido o prazo de </w:t>
      </w:r>
      <w:proofErr w:type="gramStart"/>
      <w:r w:rsidRPr="00B048A6">
        <w:rPr>
          <w:rFonts w:ascii="Arial" w:eastAsia="Times New Roman" w:hAnsi="Arial" w:cs="Arial"/>
          <w:color w:val="000000"/>
          <w:sz w:val="24"/>
          <w:szCs w:val="24"/>
          <w:lang w:eastAsia="pt-BR"/>
        </w:rPr>
        <w:t>3</w:t>
      </w:r>
      <w:proofErr w:type="gramEnd"/>
      <w:r w:rsidRPr="00B048A6">
        <w:rPr>
          <w:rFonts w:ascii="Arial" w:eastAsia="Times New Roman" w:hAnsi="Arial" w:cs="Arial"/>
          <w:color w:val="000000"/>
          <w:sz w:val="24"/>
          <w:szCs w:val="24"/>
          <w:lang w:eastAsia="pt-BR"/>
        </w:rPr>
        <w:t xml:space="preserve"> (três) dias para apresentação das razões do recurso, ficando os demais licitantes desde logo intimados para apresentar </w:t>
      </w:r>
      <w:proofErr w:type="spellStart"/>
      <w:r w:rsidRPr="00B048A6">
        <w:rPr>
          <w:rFonts w:ascii="Arial" w:eastAsia="Times New Roman" w:hAnsi="Arial" w:cs="Arial"/>
          <w:color w:val="000000"/>
          <w:sz w:val="24"/>
          <w:szCs w:val="24"/>
          <w:lang w:eastAsia="pt-BR"/>
        </w:rPr>
        <w:t>contra-razões</w:t>
      </w:r>
      <w:proofErr w:type="spellEnd"/>
      <w:r w:rsidRPr="00B048A6">
        <w:rPr>
          <w:rFonts w:ascii="Arial" w:eastAsia="Times New Roman" w:hAnsi="Arial" w:cs="Arial"/>
          <w:color w:val="000000"/>
          <w:sz w:val="24"/>
          <w:szCs w:val="24"/>
          <w:lang w:eastAsia="pt-BR"/>
        </w:rPr>
        <w:t xml:space="preserve"> em igual número de dias, que começarão a correr do término do prazo do recorrente, sendo-lhes assegurada vista imediata dos autos;</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4" w:name="art4xix"/>
      <w:bookmarkEnd w:id="34"/>
      <w:r w:rsidRPr="00B048A6">
        <w:rPr>
          <w:rFonts w:ascii="Arial" w:eastAsia="Times New Roman" w:hAnsi="Arial" w:cs="Arial"/>
          <w:color w:val="000000"/>
          <w:sz w:val="24"/>
          <w:szCs w:val="24"/>
          <w:lang w:eastAsia="pt-BR"/>
        </w:rPr>
        <w:t>XIX - o acolhimento de recurso importará a invalidação apenas dos atos insuscetíveis de aproveitamento;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5" w:name="art4xx"/>
      <w:bookmarkEnd w:id="35"/>
      <w:r w:rsidRPr="00B048A6">
        <w:rPr>
          <w:rFonts w:ascii="Arial" w:eastAsia="Times New Roman" w:hAnsi="Arial" w:cs="Arial"/>
          <w:color w:val="000000"/>
          <w:sz w:val="24"/>
          <w:szCs w:val="24"/>
          <w:lang w:eastAsia="pt-BR"/>
        </w:rPr>
        <w:t>XX - a falta de manifestação imediata e motivada do licitante importará a decadência do direito de recurso e a adjudicação do objeto da licitação pelo pregoeiro ao vencedor;</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6" w:name="art4xxi"/>
      <w:bookmarkEnd w:id="36"/>
      <w:r w:rsidRPr="00B048A6">
        <w:rPr>
          <w:rFonts w:ascii="Arial" w:eastAsia="Times New Roman" w:hAnsi="Arial" w:cs="Arial"/>
          <w:color w:val="000000"/>
          <w:sz w:val="24"/>
          <w:szCs w:val="24"/>
          <w:lang w:eastAsia="pt-BR"/>
        </w:rPr>
        <w:lastRenderedPageBreak/>
        <w:t>XXI - decididos os recursos, a autoridade competente fará a adjudicação do objeto da licitação ao licitante vencedor;</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7" w:name="art4xxii"/>
      <w:bookmarkEnd w:id="37"/>
      <w:r w:rsidRPr="00B048A6">
        <w:rPr>
          <w:rFonts w:ascii="Arial" w:eastAsia="Times New Roman" w:hAnsi="Arial" w:cs="Arial"/>
          <w:color w:val="000000"/>
          <w:sz w:val="24"/>
          <w:szCs w:val="24"/>
          <w:lang w:eastAsia="pt-BR"/>
        </w:rPr>
        <w:t xml:space="preserve">XXII - homologada a licitação pela autoridade competente, o adjudicatário será convocado para assinar o contrato no prazo definido em edital; </w:t>
      </w:r>
      <w:proofErr w:type="gramStart"/>
      <w:r w:rsidRPr="00B048A6">
        <w:rPr>
          <w:rFonts w:ascii="Arial" w:eastAsia="Times New Roman" w:hAnsi="Arial" w:cs="Arial"/>
          <w:color w:val="000000"/>
          <w:sz w:val="24"/>
          <w:szCs w:val="24"/>
          <w:lang w:eastAsia="pt-BR"/>
        </w:rPr>
        <w:t>e</w:t>
      </w:r>
      <w:proofErr w:type="gramEnd"/>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8" w:name="art4xxiii"/>
      <w:bookmarkEnd w:id="38"/>
      <w:r w:rsidRPr="00B048A6">
        <w:rPr>
          <w:rFonts w:ascii="Arial" w:eastAsia="Times New Roman" w:hAnsi="Arial" w:cs="Arial"/>
          <w:color w:val="000000"/>
          <w:sz w:val="24"/>
          <w:szCs w:val="24"/>
          <w:lang w:eastAsia="pt-BR"/>
        </w:rPr>
        <w:t>XXIII - se o licitante vencedor, convocado dentro do prazo de validade da sua proposta, não celebrar o contrato, aplicar-se-á o disposto no inciso XVI.</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39" w:name="art5"/>
      <w:bookmarkEnd w:id="39"/>
      <w:r w:rsidRPr="00B048A6">
        <w:rPr>
          <w:rFonts w:ascii="Arial" w:eastAsia="Times New Roman" w:hAnsi="Arial" w:cs="Arial"/>
          <w:color w:val="000000"/>
          <w:sz w:val="24"/>
          <w:szCs w:val="24"/>
          <w:lang w:eastAsia="pt-BR"/>
        </w:rPr>
        <w:t>Art. 5º  É vedada a exigência de:</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r w:rsidRPr="00B048A6">
        <w:rPr>
          <w:rFonts w:ascii="Arial" w:eastAsia="Times New Roman" w:hAnsi="Arial" w:cs="Arial"/>
          <w:color w:val="000000"/>
          <w:sz w:val="24"/>
          <w:szCs w:val="24"/>
          <w:lang w:eastAsia="pt-BR"/>
        </w:rPr>
        <w:t>I - garantia de proposta;</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r w:rsidRPr="00B048A6">
        <w:rPr>
          <w:rFonts w:ascii="Arial" w:eastAsia="Times New Roman" w:hAnsi="Arial" w:cs="Arial"/>
          <w:color w:val="000000"/>
          <w:sz w:val="24"/>
          <w:szCs w:val="24"/>
          <w:lang w:eastAsia="pt-BR"/>
        </w:rPr>
        <w:t xml:space="preserve">II - aquisição do edital pelos licitantes, como condição para participação no certame; </w:t>
      </w:r>
      <w:proofErr w:type="gramStart"/>
      <w:r w:rsidRPr="00B048A6">
        <w:rPr>
          <w:rFonts w:ascii="Arial" w:eastAsia="Times New Roman" w:hAnsi="Arial" w:cs="Arial"/>
          <w:color w:val="000000"/>
          <w:sz w:val="24"/>
          <w:szCs w:val="24"/>
          <w:lang w:eastAsia="pt-BR"/>
        </w:rPr>
        <w:t>e</w:t>
      </w:r>
      <w:proofErr w:type="gramEnd"/>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r w:rsidRPr="00B048A6">
        <w:rPr>
          <w:rFonts w:ascii="Arial" w:eastAsia="Times New Roman" w:hAnsi="Arial" w:cs="Arial"/>
          <w:color w:val="000000"/>
          <w:sz w:val="24"/>
          <w:szCs w:val="24"/>
          <w:lang w:eastAsia="pt-BR"/>
        </w:rPr>
        <w:t>III - pagamento de taxas e emolumentos, salvo os referentes a fornecimento do edital, que não serão superiores ao custo de sua reprodução gráfica, e aos custos de utilização de recursos de tecnologia da informação, quando for o caso.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40" w:name="art6"/>
      <w:bookmarkEnd w:id="40"/>
      <w:r w:rsidRPr="00B048A6">
        <w:rPr>
          <w:rFonts w:ascii="Arial" w:eastAsia="Times New Roman" w:hAnsi="Arial" w:cs="Arial"/>
          <w:color w:val="000000"/>
          <w:sz w:val="24"/>
          <w:szCs w:val="24"/>
          <w:lang w:eastAsia="pt-BR"/>
        </w:rPr>
        <w:t>Art. 6º  O prazo de validade das propostas será de 60 (sessenta) dias, se outro não estiver fixado no edital.</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41" w:name="art7"/>
      <w:bookmarkEnd w:id="41"/>
      <w:r w:rsidRPr="00B048A6">
        <w:rPr>
          <w:rFonts w:ascii="Arial" w:eastAsia="Times New Roman" w:hAnsi="Arial" w:cs="Arial"/>
          <w:color w:val="000000"/>
          <w:sz w:val="24"/>
          <w:szCs w:val="24"/>
          <w:lang w:eastAsia="pt-BR"/>
        </w:rPr>
        <w:t xml:space="preserve">Art. 7º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 </w:t>
      </w:r>
      <w:proofErr w:type="spellStart"/>
      <w:r w:rsidRPr="00B048A6">
        <w:rPr>
          <w:rFonts w:ascii="Arial" w:eastAsia="Times New Roman" w:hAnsi="Arial" w:cs="Arial"/>
          <w:color w:val="000000"/>
          <w:sz w:val="24"/>
          <w:szCs w:val="24"/>
          <w:lang w:eastAsia="pt-BR"/>
        </w:rPr>
        <w:t>Sicaf</w:t>
      </w:r>
      <w:proofErr w:type="spellEnd"/>
      <w:r w:rsidRPr="00B048A6">
        <w:rPr>
          <w:rFonts w:ascii="Arial" w:eastAsia="Times New Roman" w:hAnsi="Arial" w:cs="Arial"/>
          <w:color w:val="000000"/>
          <w:sz w:val="24"/>
          <w:szCs w:val="24"/>
          <w:lang w:eastAsia="pt-BR"/>
        </w:rPr>
        <w:t xml:space="preserve">, ou nos sistemas de cadastramento de fornecedores a que se refere o inciso XIV do art. 4o desta Lei, pelo prazo de até </w:t>
      </w:r>
      <w:proofErr w:type="gramStart"/>
      <w:r w:rsidRPr="00B048A6">
        <w:rPr>
          <w:rFonts w:ascii="Arial" w:eastAsia="Times New Roman" w:hAnsi="Arial" w:cs="Arial"/>
          <w:color w:val="000000"/>
          <w:sz w:val="24"/>
          <w:szCs w:val="24"/>
          <w:lang w:eastAsia="pt-BR"/>
        </w:rPr>
        <w:t>5</w:t>
      </w:r>
      <w:proofErr w:type="gramEnd"/>
      <w:r w:rsidRPr="00B048A6">
        <w:rPr>
          <w:rFonts w:ascii="Arial" w:eastAsia="Times New Roman" w:hAnsi="Arial" w:cs="Arial"/>
          <w:color w:val="000000"/>
          <w:sz w:val="24"/>
          <w:szCs w:val="24"/>
          <w:lang w:eastAsia="pt-BR"/>
        </w:rPr>
        <w:t xml:space="preserve"> (cinco) anos, sem prejuízo das multas previstas em edital e no contrato e das demais cominações legais.</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42" w:name="art8"/>
      <w:bookmarkEnd w:id="42"/>
      <w:r w:rsidRPr="00B048A6">
        <w:rPr>
          <w:rFonts w:ascii="Arial" w:eastAsia="Times New Roman" w:hAnsi="Arial" w:cs="Arial"/>
          <w:color w:val="000000"/>
          <w:sz w:val="24"/>
          <w:szCs w:val="24"/>
          <w:lang w:eastAsia="pt-BR"/>
        </w:rPr>
        <w:t>Art. 8º  Os atos essenciais do pregão, inclusive os decorrentes de meios eletrônicos, serão documentados no processo respectivo, com vistas à aferição de sua regularidade pelos agentes de controle, nos termos do regulamento previsto no art. 2º.</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43" w:name="art9"/>
      <w:bookmarkEnd w:id="43"/>
      <w:r w:rsidRPr="00B048A6">
        <w:rPr>
          <w:rFonts w:ascii="Arial" w:eastAsia="Times New Roman" w:hAnsi="Arial" w:cs="Arial"/>
          <w:color w:val="000000"/>
          <w:sz w:val="24"/>
          <w:szCs w:val="24"/>
          <w:lang w:eastAsia="pt-BR"/>
        </w:rPr>
        <w:t>Art. 9º  Aplicam-se subsidiariamente, para a modalidade de pregão, as normas da </w:t>
      </w:r>
      <w:hyperlink r:id="rId13" w:history="1">
        <w:r w:rsidRPr="00B048A6">
          <w:rPr>
            <w:rFonts w:ascii="Arial" w:eastAsia="Times New Roman" w:hAnsi="Arial" w:cs="Arial"/>
            <w:color w:val="0000FF"/>
            <w:sz w:val="24"/>
            <w:szCs w:val="24"/>
            <w:u w:val="single"/>
            <w:lang w:eastAsia="pt-BR"/>
          </w:rPr>
          <w:t xml:space="preserve">Lei nº 8.666, de 21 de junho de </w:t>
        </w:r>
        <w:proofErr w:type="gramStart"/>
        <w:r w:rsidRPr="00B048A6">
          <w:rPr>
            <w:rFonts w:ascii="Arial" w:eastAsia="Times New Roman" w:hAnsi="Arial" w:cs="Arial"/>
            <w:color w:val="0000FF"/>
            <w:sz w:val="24"/>
            <w:szCs w:val="24"/>
            <w:u w:val="single"/>
            <w:lang w:eastAsia="pt-BR"/>
          </w:rPr>
          <w:t>1993.</w:t>
        </w:r>
        <w:proofErr w:type="gramEnd"/>
      </w:hyperlink>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44" w:name="art10"/>
      <w:bookmarkEnd w:id="44"/>
      <w:r w:rsidRPr="00B048A6">
        <w:rPr>
          <w:rFonts w:ascii="Arial" w:eastAsia="Times New Roman" w:hAnsi="Arial" w:cs="Arial"/>
          <w:color w:val="000000"/>
          <w:sz w:val="24"/>
          <w:szCs w:val="24"/>
          <w:lang w:eastAsia="pt-BR"/>
        </w:rPr>
        <w:t>Art. 10.  Ficam convalidados os atos praticados com base na </w:t>
      </w:r>
      <w:hyperlink r:id="rId14" w:history="1">
        <w:r w:rsidRPr="00B048A6">
          <w:rPr>
            <w:rFonts w:ascii="Arial" w:eastAsia="Times New Roman" w:hAnsi="Arial" w:cs="Arial"/>
            <w:color w:val="0000FF"/>
            <w:sz w:val="24"/>
            <w:szCs w:val="24"/>
            <w:u w:val="single"/>
            <w:lang w:eastAsia="pt-BR"/>
          </w:rPr>
          <w:t>Medida Provisória nº 2.182-18, de 23 de agosto de 2001</w:t>
        </w:r>
      </w:hyperlink>
      <w:r w:rsidRPr="00B048A6">
        <w:rPr>
          <w:rFonts w:ascii="Arial" w:eastAsia="Times New Roman" w:hAnsi="Arial" w:cs="Arial"/>
          <w:color w:val="000000"/>
          <w:sz w:val="24"/>
          <w:szCs w:val="24"/>
          <w:lang w:eastAsia="pt-BR"/>
        </w:rPr>
        <w:t>.</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45" w:name="art11"/>
      <w:bookmarkEnd w:id="45"/>
      <w:r w:rsidRPr="00B048A6">
        <w:rPr>
          <w:rFonts w:ascii="Arial" w:eastAsia="Times New Roman" w:hAnsi="Arial" w:cs="Arial"/>
          <w:color w:val="000000"/>
          <w:sz w:val="24"/>
          <w:szCs w:val="24"/>
          <w:lang w:eastAsia="pt-BR"/>
        </w:rPr>
        <w:t>Art. 11.  As compras e contratações de bens e serviços comuns, no âmbito da União, dos Estados, do Distrito Federal e dos Municípios, quando efetuadas pelo sistema de registro de preços previsto no </w:t>
      </w:r>
      <w:hyperlink r:id="rId15" w:anchor="art15" w:history="1">
        <w:r w:rsidRPr="00B048A6">
          <w:rPr>
            <w:rFonts w:ascii="Arial" w:eastAsia="Times New Roman" w:hAnsi="Arial" w:cs="Arial"/>
            <w:color w:val="0000FF"/>
            <w:sz w:val="24"/>
            <w:szCs w:val="24"/>
            <w:u w:val="single"/>
            <w:lang w:eastAsia="pt-BR"/>
          </w:rPr>
          <w:t>art. 15 da Lei nº 8.666, de 21 de junho de 1993</w:t>
        </w:r>
      </w:hyperlink>
      <w:r w:rsidRPr="00B048A6">
        <w:rPr>
          <w:rFonts w:ascii="Arial" w:eastAsia="Times New Roman" w:hAnsi="Arial" w:cs="Arial"/>
          <w:color w:val="000000"/>
          <w:sz w:val="24"/>
          <w:szCs w:val="24"/>
          <w:lang w:eastAsia="pt-BR"/>
        </w:rPr>
        <w:t>, poderão adotar a modalidade de pregão, conforme regulamento específico.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46" w:name="art12"/>
      <w:bookmarkEnd w:id="46"/>
      <w:r w:rsidRPr="00B048A6">
        <w:rPr>
          <w:rFonts w:ascii="Arial" w:eastAsia="Times New Roman" w:hAnsi="Arial" w:cs="Arial"/>
          <w:color w:val="000000"/>
          <w:sz w:val="24"/>
          <w:szCs w:val="24"/>
          <w:lang w:eastAsia="pt-BR"/>
        </w:rPr>
        <w:t>Art. 12.  A Lei nº 10.191, de 14 de fevereiro de 2001, passa a vigorar acrescida do seguinte artigo:</w:t>
      </w:r>
    </w:p>
    <w:p w:rsidR="00B048A6" w:rsidRPr="00B048A6" w:rsidRDefault="00B048A6" w:rsidP="00B048A6">
      <w:pPr>
        <w:spacing w:beforeAutospacing="1" w:after="100" w:afterAutospacing="1" w:line="240" w:lineRule="auto"/>
        <w:rPr>
          <w:rFonts w:ascii="Times New Roman" w:eastAsia="Times New Roman" w:hAnsi="Times New Roman" w:cs="Times New Roman"/>
          <w:color w:val="000000"/>
          <w:sz w:val="24"/>
          <w:szCs w:val="24"/>
          <w:lang w:eastAsia="pt-BR"/>
        </w:rPr>
      </w:pPr>
      <w:hyperlink r:id="rId16" w:anchor="art2a" w:history="1">
        <w:r w:rsidRPr="00B048A6">
          <w:rPr>
            <w:rFonts w:ascii="Arial" w:eastAsia="Times New Roman" w:hAnsi="Arial" w:cs="Arial"/>
            <w:color w:val="0000FF"/>
            <w:sz w:val="24"/>
            <w:szCs w:val="24"/>
            <w:u w:val="single"/>
            <w:lang w:eastAsia="pt-BR"/>
          </w:rPr>
          <w:t>“Art. 2-</w:t>
        </w:r>
        <w:proofErr w:type="gramStart"/>
        <w:r w:rsidRPr="00B048A6">
          <w:rPr>
            <w:rFonts w:ascii="Arial" w:eastAsia="Times New Roman" w:hAnsi="Arial" w:cs="Arial"/>
            <w:color w:val="0000FF"/>
            <w:sz w:val="24"/>
            <w:szCs w:val="24"/>
            <w:u w:val="single"/>
            <w:lang w:eastAsia="pt-BR"/>
          </w:rPr>
          <w:t>A.</w:t>
        </w:r>
        <w:proofErr w:type="gramEnd"/>
      </w:hyperlink>
      <w:r w:rsidRPr="00B048A6">
        <w:rPr>
          <w:rFonts w:ascii="Arial" w:eastAsia="Times New Roman" w:hAnsi="Arial" w:cs="Arial"/>
          <w:color w:val="000000"/>
          <w:sz w:val="24"/>
          <w:szCs w:val="24"/>
          <w:lang w:eastAsia="pt-BR"/>
        </w:rPr>
        <w:t>  A União, os Estados, o Distrito Federal e os Municípios poderão adotar, nas licitações de registro de preços destinadas à aquisição de bens e serviços comuns da área da saúde, a modalidade do pregão, inclusive por meio eletrônico, observando-se o seguinte:</w:t>
      </w:r>
    </w:p>
    <w:p w:rsidR="00B048A6" w:rsidRPr="00B048A6" w:rsidRDefault="00B048A6" w:rsidP="00B048A6">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B048A6">
        <w:rPr>
          <w:rFonts w:ascii="Arial" w:eastAsia="Times New Roman" w:hAnsi="Arial" w:cs="Arial"/>
          <w:color w:val="000000"/>
          <w:sz w:val="24"/>
          <w:szCs w:val="24"/>
          <w:lang w:eastAsia="pt-BR"/>
        </w:rPr>
        <w:t>I - são considerados bens e serviços comuns da área da saúde, aqueles necessários ao atendimento dos órgãos que integram o Sistema Único de Saúde, cujos padrões de desempenho e qualidade possam ser objetivamente definidos no edital, por meio de especificações usuais do mercado.</w:t>
      </w:r>
    </w:p>
    <w:p w:rsidR="00B048A6" w:rsidRPr="00B048A6" w:rsidRDefault="00B048A6" w:rsidP="00B048A6">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B048A6">
        <w:rPr>
          <w:rFonts w:ascii="Arial" w:eastAsia="Times New Roman" w:hAnsi="Arial" w:cs="Arial"/>
          <w:color w:val="000000"/>
          <w:sz w:val="24"/>
          <w:szCs w:val="24"/>
          <w:lang w:eastAsia="pt-BR"/>
        </w:rPr>
        <w:t>II - quando o quantitativo total estimado para a contratação ou fornecimento não puder ser atendido pelo licitante vencedor, admitir-se-á a convocação de tantos licitantes quantos forem necessários para o atingimento da totalidade do quantitativo, respeitada a ordem de classificação, desde que os referidos licitantes aceitem praticar o mesmo preço da proposta vencedora.</w:t>
      </w:r>
    </w:p>
    <w:p w:rsidR="00B048A6" w:rsidRPr="00B048A6" w:rsidRDefault="00B048A6" w:rsidP="00B048A6">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B048A6">
        <w:rPr>
          <w:rFonts w:ascii="Arial" w:eastAsia="Times New Roman" w:hAnsi="Arial" w:cs="Arial"/>
          <w:color w:val="000000"/>
          <w:sz w:val="24"/>
          <w:szCs w:val="24"/>
          <w:lang w:eastAsia="pt-BR"/>
        </w:rPr>
        <w:t>III - na impossibilidade do atendimento ao disposto no inciso II, excepcionalmente, poderão ser registrados outros preços diferentes da proposta vencedora, desde que se trate de objetos de qualidade ou desempenho superior, devidamente justificada e comprovada a vantagem, e que as ofertas sejam em valor inferior ao limite máximo admitido.</w:t>
      </w:r>
      <w:proofErr w:type="gramStart"/>
      <w:r w:rsidRPr="00B048A6">
        <w:rPr>
          <w:rFonts w:ascii="Arial" w:eastAsia="Times New Roman" w:hAnsi="Arial" w:cs="Arial"/>
          <w:color w:val="000000"/>
          <w:sz w:val="24"/>
          <w:szCs w:val="24"/>
          <w:lang w:eastAsia="pt-BR"/>
        </w:rPr>
        <w:t>”</w:t>
      </w:r>
      <w:proofErr w:type="gramEnd"/>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bookmarkStart w:id="47" w:name="art13"/>
      <w:bookmarkEnd w:id="47"/>
      <w:r w:rsidRPr="00B048A6">
        <w:rPr>
          <w:rFonts w:ascii="Arial" w:eastAsia="Times New Roman" w:hAnsi="Arial" w:cs="Arial"/>
          <w:color w:val="000000"/>
          <w:sz w:val="24"/>
          <w:szCs w:val="24"/>
          <w:lang w:eastAsia="pt-BR"/>
        </w:rPr>
        <w:t>Art. 13.  Esta Lei entra em vigor na data de sua publicação.</w:t>
      </w:r>
    </w:p>
    <w:p w:rsidR="00B048A6" w:rsidRPr="00B048A6" w:rsidRDefault="00B048A6" w:rsidP="00B048A6">
      <w:pPr>
        <w:spacing w:before="100" w:beforeAutospacing="1" w:after="100" w:afterAutospacing="1" w:line="240" w:lineRule="auto"/>
        <w:ind w:firstLine="450"/>
        <w:rPr>
          <w:rFonts w:ascii="Times New Roman" w:eastAsia="Times New Roman" w:hAnsi="Times New Roman" w:cs="Times New Roman"/>
          <w:color w:val="000000"/>
          <w:sz w:val="24"/>
          <w:szCs w:val="24"/>
          <w:lang w:eastAsia="pt-BR"/>
        </w:rPr>
      </w:pPr>
      <w:r w:rsidRPr="00B048A6">
        <w:rPr>
          <w:rFonts w:ascii="Arial" w:eastAsia="Times New Roman" w:hAnsi="Arial" w:cs="Arial"/>
          <w:color w:val="000000"/>
          <w:sz w:val="24"/>
          <w:szCs w:val="24"/>
          <w:lang w:eastAsia="pt-BR"/>
        </w:rPr>
        <w:t>Brasília, 17 de  julho  de 2002; 181º da Independência e 114º da República.</w:t>
      </w:r>
    </w:p>
    <w:p w:rsidR="00B048A6" w:rsidRPr="00B048A6" w:rsidRDefault="00B048A6" w:rsidP="00B048A6">
      <w:pPr>
        <w:spacing w:before="100" w:beforeAutospacing="1" w:after="100" w:afterAutospacing="1" w:line="240" w:lineRule="auto"/>
        <w:rPr>
          <w:rFonts w:ascii="Times New Roman" w:eastAsia="Times New Roman" w:hAnsi="Times New Roman" w:cs="Times New Roman"/>
          <w:color w:val="000000"/>
          <w:sz w:val="24"/>
          <w:szCs w:val="24"/>
          <w:lang w:eastAsia="pt-BR"/>
        </w:rPr>
      </w:pPr>
      <w:r w:rsidRPr="00B048A6">
        <w:rPr>
          <w:rFonts w:ascii="Arial" w:eastAsia="Times New Roman" w:hAnsi="Arial" w:cs="Arial"/>
          <w:color w:val="000000"/>
          <w:sz w:val="24"/>
          <w:szCs w:val="24"/>
          <w:lang w:eastAsia="pt-BR"/>
        </w:rPr>
        <w:t>FERNANDO HENRIQUE CARDOSO</w:t>
      </w:r>
      <w:r w:rsidRPr="00B048A6">
        <w:rPr>
          <w:rFonts w:ascii="Arial" w:eastAsia="Times New Roman" w:hAnsi="Arial" w:cs="Arial"/>
          <w:color w:val="000000"/>
          <w:sz w:val="24"/>
          <w:szCs w:val="24"/>
          <w:lang w:eastAsia="pt-BR"/>
        </w:rPr>
        <w:br/>
      </w:r>
      <w:r w:rsidRPr="00B048A6">
        <w:rPr>
          <w:rFonts w:ascii="Arial" w:eastAsia="Times New Roman" w:hAnsi="Arial" w:cs="Arial"/>
          <w:i/>
          <w:iCs/>
          <w:color w:val="000000"/>
          <w:sz w:val="24"/>
          <w:szCs w:val="24"/>
          <w:lang w:eastAsia="pt-BR"/>
        </w:rPr>
        <w:t>Pedro Malan</w:t>
      </w:r>
      <w:r w:rsidRPr="00B048A6">
        <w:rPr>
          <w:rFonts w:ascii="Arial" w:eastAsia="Times New Roman" w:hAnsi="Arial" w:cs="Arial"/>
          <w:i/>
          <w:iCs/>
          <w:color w:val="000000"/>
          <w:sz w:val="24"/>
          <w:szCs w:val="24"/>
          <w:lang w:eastAsia="pt-BR"/>
        </w:rPr>
        <w:br/>
        <w:t>Guilherme Gomes Dias</w:t>
      </w:r>
    </w:p>
    <w:p w:rsidR="00B048A6" w:rsidRPr="00B048A6" w:rsidRDefault="00B048A6" w:rsidP="00B048A6">
      <w:pPr>
        <w:spacing w:before="100" w:beforeAutospacing="1" w:after="100" w:afterAutospacing="1" w:line="240" w:lineRule="auto"/>
        <w:rPr>
          <w:rFonts w:ascii="Times New Roman" w:eastAsia="Times New Roman" w:hAnsi="Times New Roman" w:cs="Times New Roman"/>
          <w:color w:val="000000"/>
          <w:sz w:val="27"/>
          <w:szCs w:val="27"/>
          <w:lang w:eastAsia="pt-BR"/>
        </w:rPr>
      </w:pPr>
      <w:r w:rsidRPr="00B048A6">
        <w:rPr>
          <w:rFonts w:ascii="Arial" w:eastAsia="Times New Roman" w:hAnsi="Arial" w:cs="Arial"/>
          <w:color w:val="FF0000"/>
          <w:sz w:val="24"/>
          <w:szCs w:val="24"/>
          <w:lang w:eastAsia="pt-BR"/>
        </w:rPr>
        <w:t>Este texto não substitui o publicado no DOU de  18.7.2002 e </w:t>
      </w:r>
      <w:hyperlink r:id="rId17" w:history="1">
        <w:r w:rsidRPr="00B048A6">
          <w:rPr>
            <w:rFonts w:ascii="Arial" w:eastAsia="Times New Roman" w:hAnsi="Arial" w:cs="Arial"/>
            <w:color w:val="FF0000"/>
            <w:sz w:val="24"/>
            <w:szCs w:val="24"/>
            <w:u w:val="single"/>
            <w:lang w:eastAsia="pt-BR"/>
          </w:rPr>
          <w:t>retificado em 30.7.2002</w:t>
        </w:r>
      </w:hyperlink>
    </w:p>
    <w:p w:rsidR="00165A8C" w:rsidRDefault="00165A8C"/>
    <w:sectPr w:rsidR="00165A8C" w:rsidSect="00B048A6">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8A6"/>
    <w:rsid w:val="00165A8C"/>
    <w:rsid w:val="00B048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B048A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048A6"/>
    <w:rPr>
      <w:b/>
      <w:bCs/>
    </w:rPr>
  </w:style>
  <w:style w:type="character" w:styleId="Hyperlink">
    <w:name w:val="Hyperlink"/>
    <w:basedOn w:val="Fontepargpadro"/>
    <w:uiPriority w:val="99"/>
    <w:semiHidden/>
    <w:unhideWhenUsed/>
    <w:rsid w:val="00B048A6"/>
    <w:rPr>
      <w:color w:val="0000FF"/>
      <w:u w:val="single"/>
    </w:rPr>
  </w:style>
  <w:style w:type="character" w:styleId="nfase">
    <w:name w:val="Emphasis"/>
    <w:basedOn w:val="Fontepargpadro"/>
    <w:uiPriority w:val="20"/>
    <w:qFormat/>
    <w:rsid w:val="00B048A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B048A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048A6"/>
    <w:rPr>
      <w:b/>
      <w:bCs/>
    </w:rPr>
  </w:style>
  <w:style w:type="character" w:styleId="Hyperlink">
    <w:name w:val="Hyperlink"/>
    <w:basedOn w:val="Fontepargpadro"/>
    <w:uiPriority w:val="99"/>
    <w:semiHidden/>
    <w:unhideWhenUsed/>
    <w:rsid w:val="00B048A6"/>
    <w:rPr>
      <w:color w:val="0000FF"/>
      <w:u w:val="single"/>
    </w:rPr>
  </w:style>
  <w:style w:type="character" w:styleId="nfase">
    <w:name w:val="Emphasis"/>
    <w:basedOn w:val="Fontepargpadro"/>
    <w:uiPriority w:val="20"/>
    <w:qFormat/>
    <w:rsid w:val="00B048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839117">
      <w:bodyDiv w:val="1"/>
      <w:marLeft w:val="0"/>
      <w:marRight w:val="0"/>
      <w:marTop w:val="0"/>
      <w:marBottom w:val="0"/>
      <w:divBdr>
        <w:top w:val="none" w:sz="0" w:space="0" w:color="auto"/>
        <w:left w:val="none" w:sz="0" w:space="0" w:color="auto"/>
        <w:bottom w:val="none" w:sz="0" w:space="0" w:color="auto"/>
        <w:right w:val="none" w:sz="0" w:space="0" w:color="auto"/>
      </w:divBdr>
      <w:divsChild>
        <w:div w:id="9324689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0548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04-2006/2005/Decreto/D5450.htm" TargetMode="External"/><Relationship Id="rId13" Type="http://schemas.openxmlformats.org/officeDocument/2006/relationships/hyperlink" Target="http://www.planalto.gov.br/ccivil_03/LEIS/L8666cons.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MPV/Antigas_2001/2182-18.htm" TargetMode="External"/><Relationship Id="rId12" Type="http://schemas.openxmlformats.org/officeDocument/2006/relationships/hyperlink" Target="http://www.planalto.gov.br/ccivil_03/LEIS/L9755.htm" TargetMode="External"/><Relationship Id="rId17" Type="http://schemas.openxmlformats.org/officeDocument/2006/relationships/hyperlink" Target="http://www.planalto.gov.br/ccivil_03/LEIS/2002/RET/rlei10520-02.pdf" TargetMode="External"/><Relationship Id="rId2" Type="http://schemas.microsoft.com/office/2007/relationships/stylesWithEffects" Target="stylesWithEffects.xml"/><Relationship Id="rId16" Type="http://schemas.openxmlformats.org/officeDocument/2006/relationships/hyperlink" Target="http://www.planalto.gov.br/ccivil_03/LEIS/LEIS_2001/L10191.htm" TargetMode="External"/><Relationship Id="rId1" Type="http://schemas.openxmlformats.org/officeDocument/2006/relationships/styles" Target="styles.xml"/><Relationship Id="rId6" Type="http://schemas.openxmlformats.org/officeDocument/2006/relationships/hyperlink" Target="http://www.planalto.gov.br/ccivil_03/LEIS/Mensagem_Veto/2002/Mv638-02.htm" TargetMode="External"/><Relationship Id="rId11" Type="http://schemas.openxmlformats.org/officeDocument/2006/relationships/hyperlink" Target="http://www.planalto.gov.br/ccivil_03/_Ato2019-2022/2019/Mpv/mpv896.htm" TargetMode="External"/><Relationship Id="rId5" Type="http://schemas.openxmlformats.org/officeDocument/2006/relationships/hyperlink" Target="http://legislacao.planalto.gov.br/legisla/legislacao.nsf/Viw_Identificacao/lei%2010.520-2002?OpenDocument" TargetMode="External"/><Relationship Id="rId15" Type="http://schemas.openxmlformats.org/officeDocument/2006/relationships/hyperlink" Target="http://www.planalto.gov.br/ccivil_03/LEIS/L8666cons.htm" TargetMode="External"/><Relationship Id="rId10" Type="http://schemas.openxmlformats.org/officeDocument/2006/relationships/hyperlink" Target="http://www.planalto.gov.br/ccivil_03/LEIS/Mensagem_Veto/2002/Mv638-02.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analto.gov.br/ccivil_03/_Ato2007-2010/2010/Decreto/D7174.htm" TargetMode="External"/><Relationship Id="rId14" Type="http://schemas.openxmlformats.org/officeDocument/2006/relationships/hyperlink" Target="http://www.planalto.gov.br/ccivil_03/MPV/Antigas_2001/2182-18.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2063</Words>
  <Characters>11145</Characters>
  <Application>Microsoft Office Word</Application>
  <DocSecurity>0</DocSecurity>
  <Lines>92</Lines>
  <Paragraphs>26</Paragraphs>
  <ScaleCrop>false</ScaleCrop>
  <Company/>
  <LinksUpToDate>false</LinksUpToDate>
  <CharactersWithSpaces>13182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cp:revision>
  <dcterms:created xsi:type="dcterms:W3CDTF">2019-10-19T15:24:00Z</dcterms:created>
  <dcterms:modified xsi:type="dcterms:W3CDTF">2019-10-19T15:27:00Z</dcterms:modified>
</cp:coreProperties>
</file>