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E54" w:rsidRPr="00840E54" w:rsidRDefault="00840E54" w:rsidP="00840E54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D4D4D"/>
          <w:sz w:val="27"/>
          <w:szCs w:val="27"/>
          <w:lang w:eastAsia="pt-BR"/>
        </w:rPr>
      </w:pPr>
      <w:r w:rsidRPr="00840E54">
        <w:rPr>
          <w:rFonts w:ascii="Arial" w:eastAsia="Times New Roman" w:hAnsi="Arial" w:cs="Arial"/>
          <w:color w:val="4D4D4D"/>
          <w:sz w:val="27"/>
          <w:szCs w:val="27"/>
          <w:lang w:eastAsia="pt-BR"/>
        </w:rPr>
        <w:t>O enunciado procura retratar o entendimento contido na deliberação da qual foi extraído, não constituindo, todavia, um resumo oficial da decisão proferida pelo Tribunal. Tampouco objetiva representar o posicionamento prevalecente no TCU sobre a matéria.</w:t>
      </w:r>
    </w:p>
    <w:p w:rsidR="00840E54" w:rsidRPr="00840E54" w:rsidRDefault="00840E54" w:rsidP="00840E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Acórdão</w:t>
      </w:r>
    </w:p>
    <w:p w:rsidR="00840E54" w:rsidRPr="00840E54" w:rsidRDefault="00840E54" w:rsidP="00840E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6" w:anchor="//documento/acordao-completo/*/NUMACORDAO%3A2249%20ANOACORDAO%3A2011%20COLEGIADO%3A%22Plen%C3%A1rio%22/DTRELEVANCIA%20desc%2C%20NUMACORDAOINT%20desc/0/%20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Acórdão 2249/2011-Plenário</w:t>
        </w:r>
      </w:hyperlink>
    </w:p>
    <w:p w:rsidR="00840E54" w:rsidRPr="00840E54" w:rsidRDefault="00840E54" w:rsidP="00840E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Data da sessão</w:t>
      </w:r>
    </w:p>
    <w:p w:rsidR="00840E54" w:rsidRPr="00840E54" w:rsidRDefault="00840E54" w:rsidP="00840E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24/08/2011</w:t>
      </w:r>
    </w:p>
    <w:p w:rsidR="00840E54" w:rsidRPr="00840E54" w:rsidRDefault="00840E54" w:rsidP="00840E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Relator</w:t>
      </w:r>
    </w:p>
    <w:p w:rsidR="00840E54" w:rsidRPr="00840E54" w:rsidRDefault="00840E54" w:rsidP="00840E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WALTON ALENCAR RODRIGUES</w:t>
      </w:r>
    </w:p>
    <w:p w:rsidR="00840E54" w:rsidRPr="00840E54" w:rsidRDefault="00840E54" w:rsidP="00840E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Área</w:t>
      </w:r>
    </w:p>
    <w:p w:rsidR="00840E54" w:rsidRPr="00840E54" w:rsidRDefault="00840E54" w:rsidP="00840E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Convênio</w:t>
      </w:r>
    </w:p>
    <w:p w:rsidR="00840E54" w:rsidRPr="00840E54" w:rsidRDefault="00840E54" w:rsidP="00840E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Tema</w:t>
      </w:r>
    </w:p>
    <w:p w:rsidR="00840E54" w:rsidRPr="00840E54" w:rsidRDefault="00840E54" w:rsidP="00840E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Plano de trabalho</w:t>
      </w:r>
    </w:p>
    <w:p w:rsidR="00840E54" w:rsidRPr="00840E54" w:rsidRDefault="00840E54" w:rsidP="00840E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Subtema</w:t>
      </w:r>
    </w:p>
    <w:p w:rsidR="00840E54" w:rsidRPr="00840E54" w:rsidRDefault="00840E54" w:rsidP="00840E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Requisito</w:t>
      </w:r>
    </w:p>
    <w:p w:rsidR="00840E54" w:rsidRPr="00840E54" w:rsidRDefault="00840E54" w:rsidP="00840E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Outros indexadores</w:t>
      </w:r>
    </w:p>
    <w:p w:rsidR="00840E54" w:rsidRPr="00840E54" w:rsidRDefault="00840E54" w:rsidP="00840E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Tempestividade, </w:t>
      </w:r>
      <w:r w:rsidRPr="00840E54">
        <w:rPr>
          <w:rFonts w:ascii="Segoe UI" w:eastAsia="Times New Roman" w:hAnsi="Segoe UI" w:cs="Segoe UI"/>
          <w:color w:val="4D4D4D"/>
          <w:sz w:val="27"/>
          <w:szCs w:val="27"/>
          <w:shd w:val="clear" w:color="auto" w:fill="FFF6CC"/>
          <w:lang w:eastAsia="pt-BR"/>
        </w:rPr>
        <w:t>Termo</w:t>
      </w: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 de </w:t>
      </w:r>
      <w:r w:rsidRPr="00840E54">
        <w:rPr>
          <w:rFonts w:ascii="Segoe UI" w:eastAsia="Times New Roman" w:hAnsi="Segoe UI" w:cs="Segoe UI"/>
          <w:color w:val="4D4D4D"/>
          <w:sz w:val="27"/>
          <w:szCs w:val="27"/>
          <w:shd w:val="clear" w:color="auto" w:fill="FFF6CC"/>
          <w:lang w:eastAsia="pt-BR"/>
        </w:rPr>
        <w:t>referência</w:t>
      </w: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, Apresentação, Projeto </w:t>
      </w:r>
      <w:proofErr w:type="gramStart"/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básico</w:t>
      </w:r>
      <w:proofErr w:type="gramEnd"/>
    </w:p>
    <w:p w:rsidR="00840E54" w:rsidRPr="00840E54" w:rsidRDefault="00840E54" w:rsidP="00840E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Tipo do processo</w:t>
      </w:r>
    </w:p>
    <w:p w:rsidR="00840E54" w:rsidRPr="00840E54" w:rsidRDefault="00840E54" w:rsidP="00840E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RELATÓRIO DE AUDITORIA</w:t>
      </w:r>
    </w:p>
    <w:p w:rsidR="00840E54" w:rsidRPr="00840E54" w:rsidRDefault="00840E54" w:rsidP="00840E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Enunciado</w:t>
      </w:r>
    </w:p>
    <w:p w:rsidR="00840E54" w:rsidRPr="00840E54" w:rsidRDefault="00840E54" w:rsidP="00840E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O projeto básico ou o </w:t>
      </w:r>
      <w:r w:rsidRPr="00840E54">
        <w:rPr>
          <w:rFonts w:ascii="Segoe UI" w:eastAsia="Times New Roman" w:hAnsi="Segoe UI" w:cs="Segoe UI"/>
          <w:color w:val="4D4D4D"/>
          <w:sz w:val="27"/>
          <w:szCs w:val="27"/>
          <w:shd w:val="clear" w:color="auto" w:fill="FFF6CC"/>
          <w:lang w:eastAsia="pt-BR"/>
        </w:rPr>
        <w:t>termo</w:t>
      </w: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 de </w:t>
      </w:r>
      <w:r w:rsidRPr="00840E54">
        <w:rPr>
          <w:rFonts w:ascii="Segoe UI" w:eastAsia="Times New Roman" w:hAnsi="Segoe UI" w:cs="Segoe UI"/>
          <w:color w:val="4D4D4D"/>
          <w:sz w:val="27"/>
          <w:szCs w:val="27"/>
          <w:shd w:val="clear" w:color="auto" w:fill="FFF6CC"/>
          <w:lang w:eastAsia="pt-BR"/>
        </w:rPr>
        <w:t>referência</w:t>
      </w: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 podem ser ou não exigidos antes da celebração do convênio ou contrato de repasse, mas necessariamente obrigatória sua apresentação prévia antes da liberação dos recursos.</w:t>
      </w:r>
    </w:p>
    <w:p w:rsidR="00840E54" w:rsidRPr="00840E54" w:rsidRDefault="00840E54" w:rsidP="00840E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Excerto</w:t>
      </w:r>
    </w:p>
    <w:p w:rsidR="00840E54" w:rsidRPr="00840E54" w:rsidRDefault="00840E54" w:rsidP="00840E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b/>
          <w:bCs/>
          <w:color w:val="4D4D4D"/>
          <w:sz w:val="27"/>
          <w:szCs w:val="27"/>
          <w:lang w:eastAsia="pt-BR"/>
        </w:rPr>
        <w:t>Voto:</w:t>
      </w:r>
    </w:p>
    <w:p w:rsidR="00840E54" w:rsidRPr="00840E54" w:rsidRDefault="00840E54" w:rsidP="00840E54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Trata-se de pedido de reexame interposto pelo Ministério do Turismo, em face dos itens 9.2.3.2 e [...] do Acórdão 393/2011, que trata de relatório de auditoria operacional, realizada na Caixa Econômica Federal, no período de 23/4 a 28/11/2008, com o objetivo de avaliar a efetividade da sua atuação, na interveniência dos convênios e dos contratos de repasse, nos exercícios de 2003/2008, com foco na capacidade de inibir a ocorrência de irregularidades e alcançar os objetivos pactuados.</w:t>
      </w:r>
    </w:p>
    <w:p w:rsidR="00840E54" w:rsidRPr="00840E54" w:rsidRDefault="00840E54" w:rsidP="00840E54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[...]</w:t>
      </w:r>
    </w:p>
    <w:p w:rsidR="00840E54" w:rsidRPr="00840E54" w:rsidRDefault="00840E54" w:rsidP="00840E54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lastRenderedPageBreak/>
        <w:t>Os itens recorridos correspondem a duas determinações endereçadas aos Ministérios do Turismo e da Agricultura, Pecuária e Abastecimento, uma versando sobre comando contido no art. 2º, § 1º, da IN-STN 1/97 e, outra, sobre o preceituado no art. 40 da Lei 12.017/2009 (LDO/2010</w:t>
      </w:r>
      <w:proofErr w:type="gramStart"/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) .</w:t>
      </w:r>
      <w:proofErr w:type="gramEnd"/>
    </w:p>
    <w:p w:rsidR="00840E54" w:rsidRPr="00840E54" w:rsidRDefault="00840E54" w:rsidP="00840E54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Preliminarmente, levando em conta que ambos os itens relacionam-se com vigência e superveniência normativa das matérias, trago à luz o art. 2º, caput, do Decreto-Lei 4.657/42 (Lei de Introdução às Normas do Direito Brasileiro) , segundo o qual as normas podem ter vigência temporária ou para o futuro sem prazo determinado, durando até que seja modificada ou revogada.</w:t>
      </w:r>
    </w:p>
    <w:p w:rsidR="00840E54" w:rsidRPr="00840E54" w:rsidRDefault="00840E54" w:rsidP="00840E54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Quanto ao item 9.2.3.2 do Acórdão 393/2011-P, dissinto da proposição oferecida pela Unidade Técnica. Considero prejudicado o entendimento expresso no Acórdão 1.937/2008-P, citado pela Secretária-Substituta da </w:t>
      </w:r>
      <w:proofErr w:type="spellStart"/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Serur</w:t>
      </w:r>
      <w:proofErr w:type="spellEnd"/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. O referido Acórdão foi prolatado em 10/9/2008. Ocorre que, menos de dois meses depois, a Portaria Interministerial 342, de 5/11/2008, inseriu na Portaria Interministerial 127/2008 o art. 74-B, estipulando que "a Instrução Normativa nº 01, de 15 de janeiro de 1997, da Secretaria do Tesouro Nacional, não se aplica aos convênios e contratos de repasse celebrados sob a vigência desta Portaria".</w:t>
      </w:r>
    </w:p>
    <w:p w:rsidR="00840E54" w:rsidRPr="00840E54" w:rsidRDefault="00840E54" w:rsidP="00840E54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Compulsando os autos (fls. 376 e 410</w:t>
      </w:r>
      <w:proofErr w:type="gramStart"/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) ,</w:t>
      </w:r>
      <w:proofErr w:type="gramEnd"/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verifico que a determinação se deveu à preocupação da equipe de fiscalização com a ausência de projeto básico em vários dos contratos auditados, conforme estampado no achado 1.8 da Matriz de Achados - Ministérios: "há um problema sério na amostra analisada, no que concerne à falta de projeto básico em projetos de grande vulto (...) . Ou então o projeto básico é entregue incompleto e os ministérios não exigem correção".</w:t>
      </w:r>
    </w:p>
    <w:p w:rsidR="00840E54" w:rsidRPr="00840E54" w:rsidRDefault="00840E54" w:rsidP="00840E54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Destarte, julgo necessário manter a determinação referente à apresentação do projeto básico, apenas adequando-a </w:t>
      </w:r>
      <w:proofErr w:type="gramStart"/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à</w:t>
      </w:r>
      <w:proofErr w:type="gramEnd"/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Portaria Interministerial 127/2008, norma com vigência para o futuro.</w:t>
      </w:r>
    </w:p>
    <w:p w:rsidR="00840E54" w:rsidRPr="00840E54" w:rsidRDefault="00840E54" w:rsidP="00840E54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b/>
          <w:bCs/>
          <w:color w:val="4D4D4D"/>
          <w:sz w:val="27"/>
          <w:szCs w:val="27"/>
          <w:lang w:eastAsia="pt-BR"/>
        </w:rPr>
        <w:t>Acórdão:</w:t>
      </w:r>
    </w:p>
    <w:p w:rsidR="00840E54" w:rsidRPr="00840E54" w:rsidRDefault="00840E54" w:rsidP="00840E54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9.1. </w:t>
      </w:r>
      <w:proofErr w:type="gramStart"/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conhecer</w:t>
      </w:r>
      <w:proofErr w:type="gramEnd"/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do pedido de reexame interposto pelo Ministério do Turismo contra o Acórdão 393/2011-TCU - Plenário, com fundamento </w:t>
      </w: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lastRenderedPageBreak/>
        <w:t>no art. 48 da Lei 8.443/92, e, no mérito, dar-lhe provimento parcial, para dar a seguinte redação aos itens 9.2.3.2 e [...] do referido Acórdão:</w:t>
      </w:r>
    </w:p>
    <w:p w:rsidR="00840E54" w:rsidRPr="00840E54" w:rsidRDefault="00840E54" w:rsidP="00840E54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"9.2.3.2. verifique em cada caso a necessidade de exigir o projeto básico ou o termo de referência antes de celebrar convênios e contratos de repasse, devendo, de todo modo, exigir sua apresentação antes da liberação da primeira parcela dos recursos, como preconiza o art. 23, caput, da Portaria Interministerial 127/2008, de modo que não se repitam as ocorrências verificadas nos convênios 562392 (MTUR) e 406076 (MAPA</w:t>
      </w:r>
      <w:proofErr w:type="gramStart"/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) ;</w:t>
      </w:r>
      <w:proofErr w:type="gramEnd"/>
    </w:p>
    <w:p w:rsidR="00840E54" w:rsidRPr="00840E54" w:rsidRDefault="00840E54" w:rsidP="00840E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Referência legal</w:t>
      </w:r>
    </w:p>
    <w:p w:rsidR="00840E54" w:rsidRPr="00840E54" w:rsidRDefault="00840E54" w:rsidP="00840E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Portaria Conjunta 127/2008 Art. 23 Par. caput CGU/MF/MPOG</w:t>
      </w:r>
    </w:p>
    <w:p w:rsidR="00840E54" w:rsidRPr="00840E54" w:rsidRDefault="00840E54" w:rsidP="00840E54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840E54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Enunciados relacionados</w:t>
      </w:r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7" w:anchor="//documento/jurisprudencia-selecionada/*/KEY%3AJURISPRUDENCIA-SELECIONADA-38696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A ausência, no plano de trabalho, de descrição completa das metas a serem atingidas, qualitativa e quantitativamente, afronta o disposto no art. 116, § 1º, inciso II, da Lei 8.666/1993 e no art. 1º, inciso XVIII, c/c o art. 25, inciso II, da Portaria Interministerial-CGU/MF/MP 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507/2011.</w:t>
        </w:r>
        <w:proofErr w:type="gramEnd"/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8" w:anchor="//documento/jurisprudencia-selecionada/*/KEY%3AJURISPRUDENCIA-SELECIONADA-16955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Quando utilizadas diversas fontes de recursos para a realização de um mesmo objeto, o plano de trabalho do convênio deve demonstrar todas as fontes de receita e as respectivas despesas que serão por elas 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custeadas.</w:t>
        </w:r>
        <w:proofErr w:type="gramEnd"/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9" w:anchor="//documento/jurisprudencia-selecionada/*/KEY%3AJURISPRUDENCIA-SELECIONADA-15063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Em convênios, o projeto básico ou o termo de referência deverá ser apresentado antes da celebração do instrumento, sendo facultado 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ao concedente</w:t>
        </w:r>
        <w:proofErr w:type="gramEnd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 exigi-lo posteriormente, desde que antes da liberação da primeira parcela dos recursos, sendo excetuada essa exigência quando houver padronização de objeto, mediante despacho fundamentado da autoridade competente.</w:t>
        </w:r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10" w:anchor="//documento/jurisprudencia-selecionada/*/KEY%3AJURISPRUDENCIA-SELECIONADA-15404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É irregular a celebração de convênio com planos de trabalhos mal elaborados, com objetos imprecisos, metas genéricas e insuficientemente 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descritas.</w:t>
        </w:r>
        <w:proofErr w:type="gramEnd"/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11" w:anchor="//documento/jurisprudencia-selecionada/*/KEY%3AJURISPRUDENCIA-SELECIONADA-18097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É indevida a aprovação de plano de trabalho sem descrição adequada do objeto, das metas a serem atingidas e das etapas ou fases da 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execução.</w:t>
        </w:r>
        <w:proofErr w:type="gramEnd"/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12" w:anchor="//documento/jurisprudencia-selecionada/*/KEY%3AJURISPRUDENCIA-SELECIONADA-16085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É vedado 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ao concedente</w:t>
        </w:r>
        <w:proofErr w:type="gramEnd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 aprovar plano de trabalho sem metas detalhadas e celebrar convênios com objetos genéricos.</w:t>
        </w:r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13" w:anchor="//documento/jurisprudencia-selecionada/*/KEY%3AJURISPRUDENCIA-SELECIONADA-16126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Os planos de trabalho de convênios devem conter descrição objetiva e completa das metas, com definições quantitativas e qualitativas e suas correlações com os custos 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envolvidos.</w:t>
        </w:r>
        <w:proofErr w:type="gramEnd"/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14" w:anchor="//documento/jurisprudencia-selecionada/*/KEY%3AJURISPRUDENCIA-SELECIONADA-16105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Nos convênios custeados com recursos da União, a entidade concedente deve obter o licenciamento ambiental previamente ao início das obras, em cumprimento ao disposto na Lei 8.666/1993 (art. 12, dentre outros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) ,</w:t>
        </w:r>
        <w:proofErr w:type="gramEnd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 na Resolução Conama 237/1997 (art. 8º, inciso I) e na Resolução Conama 6/1987.</w:t>
        </w:r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15" w:anchor="//documento/jurisprudencia-selecionada/*/KEY%3AJURISPRUDENCIA-SELECIONADA-16125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É obrigatória a apresentação prévia da licença ambiental para obras, instalações ou serviços que exijam estudos ambientais. O descumprimento do controle preventivo pelo órgão concedente (repassador) poderá ensejar a responsabilização pessoal dos gestores e 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responsáveis.</w:t>
        </w:r>
        <w:proofErr w:type="gramEnd"/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16" w:anchor="//documento/jurisprudencia-selecionada/*/KEY%3AJURISPRUDENCIA-SELECIONADA-16124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É irregular a celebração de convênios na ausência de elementos essenciais como regularidade fiscal, comprovação do exercício pleno de propriedade do imóvel, licenças ambientais exigidas, apreciação das minutas de convênio pela assessoria jurídica; bem como a liberação de recursos sem correspondência com a execução física do 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objeto.</w:t>
        </w:r>
        <w:proofErr w:type="gramEnd"/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17" w:anchor="//documento/jurisprudencia-selecionada/*/KEY%3AJURISPRUDENCIA-SELECIONADA-16107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A celebração de convênio deve conter seus elementos característicos, com descrição detalhada, objetiva, clara e precisa do plano de trabalho, sem deixar dúvidas do que se pretende realizar ou obter, com a correta e suficiente descrição das metas, etapas/fases a serem executadas, tanto nos seus aspectos quantitativos como 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qualitativos.</w:t>
        </w:r>
        <w:proofErr w:type="gramEnd"/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18" w:anchor="//documento/jurisprudencia-selecionada/*/KEY%3AJURISPRUDENCIA-SELECIONADA-16106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Somente a partir da publicação da IN/STN 5/2004, a licença ambiental prévia passou a ser expressamente exigível para a celebração de convênio que envolva obras, instalações ou serviços que necessitem de estudos ambientais (art. 2º, inciso III-A, da IN/STN 1/1997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) .</w:t>
        </w:r>
        <w:proofErr w:type="gramEnd"/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19" w:anchor="//documento/jurisprudencia-selecionada/*/KEY%3AJURISPRUDENCIA-SELECIONADA-31189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Para eventos como feiras e exposições, serviços de divulgação, promoção e publicidade também é necessário elaborar projetos básicos, com detalhamento adequado e suficiente do objeto a ser 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avençado.</w:t>
        </w:r>
        <w:proofErr w:type="gramEnd"/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20" w:anchor="//documento/jurisprudencia-selecionada/*/KEY%3AJURISPRUDENCIA-SELECIONADA-31222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É indevida a previsão em convênios e contratos de repasse de transferência de recursos para a elaboração de projeto básico, </w:t>
        </w:r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lastRenderedPageBreak/>
          <w:t xml:space="preserve">uma vez que tal elemento deve integrar o plano de trabalho, que precede a celebração do 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ajuste.</w:t>
        </w:r>
        <w:proofErr w:type="gramEnd"/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21" w:anchor="//documento/jurisprudencia-selecionada/*/KEY%3AJURISPRUDENCIA-SELECIONADA-31199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A licença ambiental prévia deve preceder à celebração de convênios que envolvam obras, instalações ou serviços que exijam estudos 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ambientais.</w:t>
        </w:r>
        <w:proofErr w:type="gramEnd"/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22" w:anchor="//documento/jurisprudencia-selecionada/*/KEY%3AJURISPRUDENCIA-SELECIONADA-31197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O Plano de Trabalho dos convênios a serem celebrados tem que conter a especificação completa do bem a ser produzido ou adquirido e, no caso de obras, instalações ou serviços, o projeto básico, entendido como tal o conjunto de elementos necessários e suficientes para caracterizar, de modo preciso, a obra, instalação ou serviço objeto do convênio, sua viabilidade técnica, custos, fases, ou etapas, e prazos de 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execução.</w:t>
        </w:r>
        <w:proofErr w:type="gramEnd"/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23" w:anchor="//documento/jurisprudencia-selecionada/*/KEY%3AJURISPRUDENCIA-SELECIONADA-32693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Para celebração de convênios os projetos básico e executivo devem conter os elementos necessários a identificar claramente a obra e os serviços a serem executados, bem como os materiais a serem empregados, as especificações técnicas a serem observadas, bem como orçamento detalhado dos quantitativos e custos unitários relativos ao 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objeto.</w:t>
        </w:r>
        <w:proofErr w:type="gramEnd"/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24" w:anchor="//documento/jurisprudencia-selecionada/*/KEY%3AJURISPRUDENCIA-SELECIONADA-32680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Somente podem ser aprovados convênios cujos Planos de Trabalho contenham descrição e especificação completa do objeto a ser executado, bem como descrevam as metas a serem atingidas, qualitativa e 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quantitativamente.</w:t>
        </w:r>
        <w:proofErr w:type="gramEnd"/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25" w:anchor="//documento/jurisprudencia-selecionada/*/KEY%3AJURISPRUDENCIA-SELECIONADA-32661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É exigido que os objetos de convênios ou instrumentos congêneres relativos a obras refiram-se ao empreendimento como um todo ou às suas fases, garantindo assim o alcance da funcionalidade e o atendimento ao interesse 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público.</w:t>
        </w:r>
        <w:proofErr w:type="gramEnd"/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26" w:anchor="//documento/jurisprudencia-selecionada/*/KEY%3AJURISPRUDENCIA-SELECIONADA-32713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Devem ser encaminhadas à procuradoria jurídica da instituição contratante todas as minutas de planos de trabalho a serem pactuados, para exame e aprovação, uma vez que a oitiva do órgão jurídico não está na seara da discricionariedade do 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gestor.</w:t>
        </w:r>
        <w:proofErr w:type="gramEnd"/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27" w:anchor="//documento/jurisprudencia-selecionada/*/KEY%3AJURISPRUDENCIA-SELECIONADA-32662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Os planos de trabalho devem trazer a descrição das metas a serem atingidas, qualitativa e quantitativamente, e todas as informações suficientes para a identificação do projeto, atividade ou ação prevista e seus 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custos.</w:t>
        </w:r>
        <w:proofErr w:type="gramEnd"/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28" w:anchor="//documento/jurisprudencia-selecionada/*/KEY%3AJURISPRUDENCIA-SELECIONADA-32679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Os convênios, mesmo em situações emergenciais, devem apresentar a definição completa do objeto a ser executado e das metas a serem atingidas, qualitativa e 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quantitativamente.</w:t>
        </w:r>
        <w:proofErr w:type="gramEnd"/>
      </w:hyperlink>
    </w:p>
    <w:p w:rsidR="00840E54" w:rsidRPr="00840E54" w:rsidRDefault="00840E54" w:rsidP="00840E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29" w:anchor="//documento/jurisprudencia-selecionada/*/KEY%3AJURISPRUDENCIA-SELECIONADA-34301/score%20desc%2C%20COLEGIADO%20asc%2C%20ANOACORDAO%20desc%2C%20NUMACORDAO%20desc/0/sinonimos%3Dtrue" w:tgtFrame="_blank" w:history="1"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É obrigatória a exigência da licença prévia e de sua outorga antes da celebração do convênio, e são requisitos indispensáveis para a aprovação do projeto básico. É irregularidade grave a não exigência da licença de instalação antes da liberação de </w:t>
        </w:r>
        <w:proofErr w:type="gramStart"/>
        <w:r w:rsidRPr="00840E54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recursos.</w:t>
        </w:r>
        <w:proofErr w:type="gramEnd"/>
      </w:hyperlink>
    </w:p>
    <w:p w:rsidR="000B0D12" w:rsidRDefault="000B0D12">
      <w:bookmarkStart w:id="0" w:name="_GoBack"/>
      <w:bookmarkEnd w:id="0"/>
    </w:p>
    <w:sectPr w:rsidR="000B0D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B3927"/>
    <w:multiLevelType w:val="multilevel"/>
    <w:tmpl w:val="A6581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5481D7A"/>
    <w:multiLevelType w:val="multilevel"/>
    <w:tmpl w:val="3226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E54"/>
    <w:rsid w:val="000B0D12"/>
    <w:rsid w:val="00185701"/>
    <w:rsid w:val="00297420"/>
    <w:rsid w:val="00840E54"/>
    <w:rsid w:val="00CB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840E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840E5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header-resultadodescricao-texto">
    <w:name w:val="header-resultado__descricao-texto"/>
    <w:basedOn w:val="Normal"/>
    <w:rsid w:val="00840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840E5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40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840E5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840E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840E5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header-resultadodescricao-texto">
    <w:name w:val="header-resultado__descricao-texto"/>
    <w:basedOn w:val="Normal"/>
    <w:rsid w:val="00840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840E5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40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840E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2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8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21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61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1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4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97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4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602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33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37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29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0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34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13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80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87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91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85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8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6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848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56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71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200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8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14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350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7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2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911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5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80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squisa.apps.tcu.gov.br/" TargetMode="External"/><Relationship Id="rId13" Type="http://schemas.openxmlformats.org/officeDocument/2006/relationships/hyperlink" Target="https://pesquisa.apps.tcu.gov.br/" TargetMode="External"/><Relationship Id="rId18" Type="http://schemas.openxmlformats.org/officeDocument/2006/relationships/hyperlink" Target="https://pesquisa.apps.tcu.gov.br/" TargetMode="External"/><Relationship Id="rId26" Type="http://schemas.openxmlformats.org/officeDocument/2006/relationships/hyperlink" Target="https://pesquisa.apps.tcu.gov.br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pesquisa.apps.tcu.gov.br/" TargetMode="External"/><Relationship Id="rId7" Type="http://schemas.openxmlformats.org/officeDocument/2006/relationships/hyperlink" Target="https://pesquisa.apps.tcu.gov.br/" TargetMode="External"/><Relationship Id="rId12" Type="http://schemas.openxmlformats.org/officeDocument/2006/relationships/hyperlink" Target="https://pesquisa.apps.tcu.gov.br/" TargetMode="External"/><Relationship Id="rId17" Type="http://schemas.openxmlformats.org/officeDocument/2006/relationships/hyperlink" Target="https://pesquisa.apps.tcu.gov.br/" TargetMode="External"/><Relationship Id="rId25" Type="http://schemas.openxmlformats.org/officeDocument/2006/relationships/hyperlink" Target="https://pesquisa.apps.tcu.gov.br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esquisa.apps.tcu.gov.br/" TargetMode="External"/><Relationship Id="rId20" Type="http://schemas.openxmlformats.org/officeDocument/2006/relationships/hyperlink" Target="https://pesquisa.apps.tcu.gov.br/" TargetMode="External"/><Relationship Id="rId29" Type="http://schemas.openxmlformats.org/officeDocument/2006/relationships/hyperlink" Target="https://pesquisa.apps.tcu.gov.br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esquisa.apps.tcu.gov.br/" TargetMode="External"/><Relationship Id="rId11" Type="http://schemas.openxmlformats.org/officeDocument/2006/relationships/hyperlink" Target="https://pesquisa.apps.tcu.gov.br/" TargetMode="External"/><Relationship Id="rId24" Type="http://schemas.openxmlformats.org/officeDocument/2006/relationships/hyperlink" Target="https://pesquisa.apps.tcu.gov.b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esquisa.apps.tcu.gov.br/" TargetMode="External"/><Relationship Id="rId23" Type="http://schemas.openxmlformats.org/officeDocument/2006/relationships/hyperlink" Target="https://pesquisa.apps.tcu.gov.br/" TargetMode="External"/><Relationship Id="rId28" Type="http://schemas.openxmlformats.org/officeDocument/2006/relationships/hyperlink" Target="https://pesquisa.apps.tcu.gov.br/" TargetMode="External"/><Relationship Id="rId10" Type="http://schemas.openxmlformats.org/officeDocument/2006/relationships/hyperlink" Target="https://pesquisa.apps.tcu.gov.br/" TargetMode="External"/><Relationship Id="rId19" Type="http://schemas.openxmlformats.org/officeDocument/2006/relationships/hyperlink" Target="https://pesquisa.apps.tcu.gov.br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esquisa.apps.tcu.gov.br/" TargetMode="External"/><Relationship Id="rId14" Type="http://schemas.openxmlformats.org/officeDocument/2006/relationships/hyperlink" Target="https://pesquisa.apps.tcu.gov.br/" TargetMode="External"/><Relationship Id="rId22" Type="http://schemas.openxmlformats.org/officeDocument/2006/relationships/hyperlink" Target="https://pesquisa.apps.tcu.gov.br/" TargetMode="External"/><Relationship Id="rId27" Type="http://schemas.openxmlformats.org/officeDocument/2006/relationships/hyperlink" Target="https://pesquisa.apps.tcu.gov.br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2414</Words>
  <Characters>13038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dcterms:created xsi:type="dcterms:W3CDTF">2019-11-05T13:27:00Z</dcterms:created>
  <dcterms:modified xsi:type="dcterms:W3CDTF">2019-11-05T13:27:00Z</dcterms:modified>
</cp:coreProperties>
</file>