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10" w:rsidRPr="00343B10" w:rsidRDefault="00343B10" w:rsidP="00343B10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4D4D4D"/>
          <w:sz w:val="27"/>
          <w:szCs w:val="27"/>
          <w:lang w:eastAsia="pt-BR"/>
        </w:rPr>
      </w:pPr>
      <w:r w:rsidRPr="00343B10">
        <w:rPr>
          <w:rFonts w:ascii="Arial" w:eastAsia="Times New Roman" w:hAnsi="Arial" w:cs="Arial"/>
          <w:color w:val="4D4D4D"/>
          <w:sz w:val="27"/>
          <w:szCs w:val="27"/>
          <w:lang w:eastAsia="pt-BR"/>
        </w:rPr>
        <w:t>O enunciado procura retratar o entendimento contido na deliberação da qual foi extraído, não constituindo, todavia, um resumo oficial da decisão proferida pelo Tribunal. Tampouco objetiva representar o posicionamento prevalecente no TCU sobre a matéria.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Acórdão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6" w:anchor="//documento/acordao-completo/*/NUMACORDAO%3A2550%20ANOACORDAO%3A2013%20COLEGIADO%3A%22Plen%C3%A1rio%22/DTRELEVANCIA%20desc%2C%20NUMACORDAOINT%20desc/0/%20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Acórdão 2550/2013-Plenário</w:t>
        </w:r>
      </w:hyperlink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Data da sessão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18/09/2013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Relator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ANA ARRAES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Área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Convênio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Tema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Plano de trabalho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Subtema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Requisito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Outros indexadores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Tempestividade, 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Termo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de 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referência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, Apresentação, Projeto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básico</w:t>
      </w:r>
      <w:proofErr w:type="gramEnd"/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Tipo do processo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RELATÓRIO DE AUDITORIA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Em convênios, o projeto básico ou o 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termo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de 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shd w:val="clear" w:color="auto" w:fill="FFF6CC"/>
          <w:lang w:eastAsia="pt-BR"/>
        </w:rPr>
        <w:t>referência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 deverá ser apresentado antes da celebração do instrumento, sendo facultado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ao concedente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exigi-lo posteriormente, desde que antes da liberação da primeira parcela dos recursos, sendo excetuada essa exigência quando houver padronização de objeto, mediante despacho fundamentado da autoridade competente.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Excerto</w:t>
      </w:r>
    </w:p>
    <w:p w:rsidR="00343B10" w:rsidRPr="00343B10" w:rsidRDefault="00343B10" w:rsidP="00343B1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Relatório: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220. O caput do art. 37 da Portaria Interministerial MP/MF/CGU 507/2011, que manteve a redação do caput do art. 23 da Portaria Interministerial MP/MF/CGU 127/2008, dispõe que "nos convênios, o projeto básico ou o termo de referência deverá ser apresentado antes da celebração do instrumento, sendo facultado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ao concedente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exigi-lo depois, desde que antes da liberação da primeira parcela dos recursos" (grifamos) .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221. As exceções a essa regra consistem na desnecessidade de apresentação do projeto básico ou do termo de referência quando 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houver padronização de objeto, mediante despacho fundamentado, conforme estabelecido no § 1º do art. 37 da Portaria Interministerial MP/MF/CGU 507/2011 e no § 1º do art. 23 da Portaria Interministerial MP/MF/CGU 127/2008, bem como nos casos em que houver, no Plano de Trabalho, previsão de transferência de recursos para a elaboração do projeto básico ou do termo de referência (§ 7º do art. 37 da Portaria Interministerial MP/MF/CGU 507/2011 e § 6º do art. 23 da Portaria Interministerial MP/MF/CGU 127/2008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.</w:t>
      </w:r>
      <w:proofErr w:type="gramEnd"/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Voto: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4. Trata-se do conjunto de auditorias realizadas em ajustes celebrados entre organizações não governamentais - ONGs e a União ou entidades da administração indireta, no período de 1999 a 2005, com o objetivo de verificar a regularidade da aplicação de recursos federais repassados a essas ONGs, por meio de convênios, contratos de repasse e instrumentos similares (TC 015.568/2005-1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) .</w:t>
      </w:r>
      <w:proofErr w:type="gramEnd"/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27. Inconsistência de dados relativos a projetos básicos e termos de referência.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27.1 A equipe identificou que o </w:t>
      </w:r>
      <w:proofErr w:type="spell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Siconv</w:t>
      </w:r>
      <w:proofErr w:type="spell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não contém mecanismo de controle que impossibilite a liberação da primeira parcela de recursos sem que os projetos básicos ou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termos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de referência estejam incluídos na aba </w:t>
      </w:r>
      <w:r w:rsidRPr="00343B10">
        <w:rPr>
          <w:rFonts w:ascii="Segoe UI" w:eastAsia="Times New Roman" w:hAnsi="Segoe UI" w:cs="Segoe UI"/>
          <w:i/>
          <w:iCs/>
          <w:color w:val="4D4D4D"/>
          <w:sz w:val="27"/>
          <w:szCs w:val="27"/>
          <w:lang w:eastAsia="pt-BR"/>
        </w:rPr>
        <w:t>"Projeto Básico/Termo de Referência"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 do sistema.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27.2 Assim, para que seja dado cumprimento ao art. 37 da Portaria Interministerial MP/MF/CGU 507/2011, é necessário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implementar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alterações no sistema, conforme sugerido pela unidade técnica.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4D4D4D"/>
          <w:sz w:val="27"/>
          <w:szCs w:val="27"/>
          <w:lang w:eastAsia="pt-BR"/>
        </w:rPr>
        <w:t>Acórdão: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9.1.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com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fundamento no art. 43, inciso I, da Lei 8.443/1992, c/c o art. 250, inciso II, do Regimento Interno, determinar à Secretaria de Logística e Tecnologia da Informação que: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[...]</w:t>
      </w:r>
    </w:p>
    <w:p w:rsidR="00343B10" w:rsidRPr="00343B10" w:rsidRDefault="00343B10" w:rsidP="00343B10">
      <w:pPr>
        <w:shd w:val="clear" w:color="auto" w:fill="FFFFFF"/>
        <w:spacing w:before="240" w:after="0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9.1.10. </w:t>
      </w:r>
      <w:proofErr w:type="gram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em</w:t>
      </w:r>
      <w:proofErr w:type="gram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atenção ao art. 37, caput e § 1º, da Portaria Interministerial MP/MF/CGU 507/2011, promova alterações no </w:t>
      </w:r>
      <w:proofErr w:type="spell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Siconv</w:t>
      </w:r>
      <w:proofErr w:type="spell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para 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lastRenderedPageBreak/>
        <w:t>impossibilitar a liberação da primeira parcela de recursos enquanto o projeto básico ou o termo de referência não for incluído na aba </w:t>
      </w:r>
      <w:r w:rsidRPr="00343B10">
        <w:rPr>
          <w:rFonts w:ascii="Segoe UI" w:eastAsia="Times New Roman" w:hAnsi="Segoe UI" w:cs="Segoe UI"/>
          <w:i/>
          <w:iCs/>
          <w:color w:val="4D4D4D"/>
          <w:sz w:val="27"/>
          <w:szCs w:val="27"/>
          <w:lang w:eastAsia="pt-BR"/>
        </w:rPr>
        <w:t>"Projeto Básico/Termo de Referência"</w:t>
      </w:r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 do sistema e enquanto tal condição não houver sido confirmada pelo concedente no sistema, com exceção das situações previstas no § 1º e no § 7º do art. 37 da Portaria Interministerial MP/MF/CGU 507/2011, nas quais o </w:t>
      </w:r>
      <w:proofErr w:type="spellStart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>Siconv</w:t>
      </w:r>
      <w:proofErr w:type="spellEnd"/>
      <w:r w:rsidRPr="00343B10"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  <w:t xml:space="preserve"> deverá exigir inclusão de despacho fundamentado, em campo próprio, como condição necessária para liberação dos recursos;</w:t>
      </w:r>
    </w:p>
    <w:p w:rsidR="00343B10" w:rsidRPr="00343B10" w:rsidRDefault="00343B10" w:rsidP="00343B1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</w:pPr>
      <w:r w:rsidRPr="00343B10">
        <w:rPr>
          <w:rFonts w:ascii="Segoe UI" w:eastAsia="Times New Roman" w:hAnsi="Segoe UI" w:cs="Segoe UI"/>
          <w:b/>
          <w:bCs/>
          <w:color w:val="2A4070"/>
          <w:sz w:val="27"/>
          <w:szCs w:val="27"/>
          <w:lang w:eastAsia="pt-BR"/>
        </w:rPr>
        <w:t>Enunciados relacionados</w:t>
      </w:r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7" w:anchor="//documento/jurisprudencia-selecionada/*/KEY%3AJURISPRUDENCIA-SELECIONADA-38696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ausência, no plano de trabalho, de descrição completa das metas a serem atingidas, qualitativa e quantitativamente, afronta o disposto no art. 116, § 1º, inciso II, da Lei 8.666/1993 e no art. 1º, inciso XVIII, c/c o art. 25, inciso II, da Portaria Interministerial-CGU/MF/MP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507/2011.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8" w:anchor="//documento/jurisprudencia-selecionada/*/KEY%3AJURISPRUDENCIA-SELECIONADA-16955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Quando utilizadas diversas fontes de recursos para a realização de um mesmo objeto, o plano de trabalho do convênio deve demonstrar todas as fontes de receita e as respectivas despesas que serão por elas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custeadas.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9" w:anchor="//documento/jurisprudencia-selecionada/*/KEY%3AJURISPRUDENCIA-SELECIONADA-15404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irregular a celebração de convênio com planos de trabalhos mal elaborados, com objetos imprecisos, metas genéricas e insuficientemente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descritas.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0" w:anchor="//documento/jurisprudencia-selecionada/*/KEY%3AJURISPRUDENCIA-SELECIONADA-15432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 projeto básico ou o termo de referência podem ser ou não exigidos antes da celebração do convênio ou contrato de repasse, mas necessariamente obrigatória sua apresentação prévia antes da liberação dos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recursos.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1" w:anchor="//documento/jurisprudencia-selecionada/*/KEY%3AJURISPRUDENCIA-SELECIONADA-18097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indevida a aprovação de plano de trabalho sem descrição adequada do objeto, das metas a serem atingidas e das etapas ou fases da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execução.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2" w:anchor="//documento/jurisprudencia-selecionada/*/KEY%3AJURISPRUDENCIA-SELECIONADA-16085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vedado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ao concedente</w:t>
        </w:r>
        <w:proofErr w:type="gramEnd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 aprovar plano de trabalho sem metas detalhadas e celebrar convênios com objetos genéricos.</w:t>
        </w:r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3" w:anchor="//documento/jurisprudencia-selecionada/*/KEY%3AJURISPRUDENCIA-SELECIONADA-16126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planos de trabalho de convênios devem conter descrição objetiva e completa das metas, com definições quantitativas e qualitativas e suas correlações com os custos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envolvidos.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4" w:anchor="//documento/jurisprudencia-selecionada/*/KEY%3AJURISPRUDENCIA-SELECIONADA-16105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Nos convênios custeados com recursos da União, a entidade concedente deve obter o licenciamento ambiental previamente ao início das obras, em cumprimento ao disposto na Lei 8.666/1993 (art. 12, dentre outros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) ,</w:t>
        </w:r>
        <w:proofErr w:type="gramEnd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 na Resolução Conama 237/1997 (art. 8º, inciso I) e na Resolução Conama 6/1987.</w:t>
        </w:r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5" w:anchor="//documento/jurisprudencia-selecionada/*/KEY%3AJURISPRUDENCIA-SELECIONADA-16125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obrigatória a apresentação prévia da licença ambiental para obras, instalações ou serviços que exijam estudos ambientais. O descumprimento do controle preventivo pelo órgão concedente (repassador) poderá ensejar a responsabilização pessoal dos gestores 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responsáveis.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6" w:anchor="//documento/jurisprudencia-selecionada/*/KEY%3AJURISPRUDENCIA-SELECIONADA-16124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irregular a celebração de convênios na ausência de elementos essenciais como regularidade fiscal, comprovação do exercício pleno de propriedade do imóvel, licenças ambientais exigidas, apreciação das minutas de convênio pela assessoria jurídica; bem como a liberação de recursos sem correspondência com a execução física do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objeto.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7" w:anchor="//documento/jurisprudencia-selecionada/*/KEY%3AJURISPRUDENCIA-SELECIONADA-16107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celebração de convênio deve conter seus elementos característicos, com descrição detalhada, objetiva, clara e precisa do plano de trabalho, sem deixar dúvidas do que se pretende realizar ou obter, com a correta e suficiente descrição das metas, etapas/fases a serem executadas, tanto nos seus aspectos quantitativos como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qualitativos.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8" w:anchor="//documento/jurisprudencia-selecionada/*/KEY%3AJURISPRUDENCIA-SELECIONADA-16106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Somente a partir da publicação da IN/STN 5/2004, a licença ambiental prévia passou a ser expressamente exigível para a celebração de convênio que envolva obras, instalações ou serviços que necessitem de estudos ambientais (art. 2º, inciso III-A, da IN/STN 1/1997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) 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19" w:anchor="//documento/jurisprudencia-selecionada/*/KEY%3AJURISPRUDENCIA-SELECIONADA-31189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Para eventos como feiras e exposições, serviços de divulgação, promoção e publicidade também é necessário elaborar projetos básicos, com detalhamento adequado e suficiente do objeto a ser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avençado.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0" w:anchor="//documento/jurisprudencia-selecionada/*/KEY%3AJURISPRUDENCIA-SELECIONADA-31222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indevida a previsão em convênios e contratos de repasse de transferência de recursos para a elaboração de projeto básico, uma vez que tal elemento deve integrar o plano de trabalho, que precede a celebração do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ajuste.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1" w:anchor="//documento/jurisprudencia-selecionada/*/KEY%3AJURISPRUDENCIA-SELECIONADA-31199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A licença ambiental prévia deve preceder à celebração de convênios que envolvam obras, instalações ou serviços que exijam estudos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ambientais.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2" w:anchor="//documento/jurisprudencia-selecionada/*/KEY%3AJURISPRUDENCIA-SELECIONADA-31197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 Plano de Trabalho dos convênios a serem celebrados tem que conter a especificação completa do bem a ser produzido ou adquirido e, no caso de obras, instalações ou serviços, o projeto básico, entendido como tal o conjunto de elementos necessários e suficientes para caracterizar, de modo preciso, a obra, </w:t>
        </w:r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lastRenderedPageBreak/>
          <w:t xml:space="preserve">instalação ou serviço objeto do convênio, sua viabilidade técnica, custos, fases, ou etapas, e prazos de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execução.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3" w:anchor="//documento/jurisprudencia-selecionada/*/KEY%3AJURISPRUDENCIA-SELECIONADA-32693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Para celebração de convênios os projetos básico e executivo devem conter os elementos necessários a identificar claramente a obra e os serviços a serem executados, bem como os materiais a serem empregados, as especificações técnicas a serem observadas, bem como orçamento detalhado dos quantitativos e custos unitários relativos ao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objeto.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4" w:anchor="//documento/jurisprudencia-selecionada/*/KEY%3AJURISPRUDENCIA-SELECIONADA-32680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Somente podem ser aprovados convênios cujos Planos de Trabalho contenham descrição e especificação completa do objeto a ser executado, bem como descrevam as metas a serem atingidas, qualitativa 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quantitativamente.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5" w:anchor="//documento/jurisprudencia-selecionada/*/KEY%3AJURISPRUDENCIA-SELECIONADA-32661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exigido que os objetos de convênios ou instrumentos congêneres relativos a obras refiram-se ao empreendimento como um todo ou às suas fases, garantindo assim o alcance da funcionalidade e o atendimento ao interesse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público.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6" w:anchor="//documento/jurisprudencia-selecionada/*/KEY%3AJURISPRUDENCIA-SELECIONADA-32713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Devem ser encaminhadas à procuradoria jurídica da instituição contratante todas as minutas de planos de trabalho a serem pactuados, para exame e aprovação, uma vez que a oitiva do órgão jurídico não está na seara da discricionariedade do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gestor.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7" w:anchor="//documento/jurisprudencia-selecionada/*/KEY%3AJURISPRUDENCIA-SELECIONADA-32662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planos de trabalho devem trazer a descrição das metas a serem atingidas, qualitativa e quantitativamente, e todas as informações suficientes para a identificação do projeto, atividade ou ação prevista e seus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custos.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8" w:anchor="//documento/jurisprudencia-selecionada/*/KEY%3AJURISPRUDENCIA-SELECIONADA-32679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Os convênios, mesmo em situações emergenciais, devem apresentar a definição completa do objeto a ser executado e das metas a serem atingidas, qualitativa 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quantitativamente.</w:t>
        </w:r>
        <w:proofErr w:type="gramEnd"/>
      </w:hyperlink>
    </w:p>
    <w:p w:rsidR="00343B10" w:rsidRPr="00343B10" w:rsidRDefault="00343B10" w:rsidP="00343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D4D4D"/>
          <w:sz w:val="27"/>
          <w:szCs w:val="27"/>
          <w:lang w:eastAsia="pt-BR"/>
        </w:rPr>
      </w:pPr>
      <w:hyperlink r:id="rId29" w:anchor="//documento/jurisprudencia-selecionada/*/KEY%3AJURISPRUDENCIA-SELECIONADA-34301/score%20desc%2C%20COLEGIADO%20asc%2C%20ANOACORDAO%20desc%2C%20NUMACORDAO%20desc/0/sinonimos%3Dtrue" w:tgtFrame="_blank" w:history="1"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 xml:space="preserve">É obrigatória a exigência da licença prévia e de sua outorga antes da celebração do convênio, e são requisitos indispensáveis para a aprovação do projeto básico. É irregularidade grave a não exigência da licença de instalação antes da liberação de </w:t>
        </w:r>
        <w:proofErr w:type="gramStart"/>
        <w:r w:rsidRPr="00343B10">
          <w:rPr>
            <w:rFonts w:ascii="Segoe UI" w:eastAsia="Times New Roman" w:hAnsi="Segoe UI" w:cs="Segoe UI"/>
            <w:color w:val="1B6DCB"/>
            <w:sz w:val="27"/>
            <w:szCs w:val="27"/>
            <w:lang w:eastAsia="pt-BR"/>
          </w:rPr>
          <w:t>recursos.</w:t>
        </w:r>
        <w:proofErr w:type="gramEnd"/>
      </w:hyperlink>
    </w:p>
    <w:p w:rsidR="000B0D12" w:rsidRDefault="000B0D12">
      <w:bookmarkStart w:id="0" w:name="_GoBack"/>
      <w:bookmarkEnd w:id="0"/>
    </w:p>
    <w:sectPr w:rsidR="000B0D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56D9C"/>
    <w:multiLevelType w:val="multilevel"/>
    <w:tmpl w:val="7A3C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B10"/>
    <w:rsid w:val="000B0D12"/>
    <w:rsid w:val="00185701"/>
    <w:rsid w:val="00297420"/>
    <w:rsid w:val="00343B10"/>
    <w:rsid w:val="00CB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43B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343B1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34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43B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4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43B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343B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343B1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header-resultadodescricao-texto">
    <w:name w:val="header-resultado__descricao-texto"/>
    <w:basedOn w:val="Normal"/>
    <w:rsid w:val="0034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43B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4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43B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5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3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60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1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7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2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00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9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6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7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19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7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squisa.apps.tcu.gov.br/" TargetMode="External"/><Relationship Id="rId13" Type="http://schemas.openxmlformats.org/officeDocument/2006/relationships/hyperlink" Target="https://pesquisa.apps.tcu.gov.br/" TargetMode="External"/><Relationship Id="rId18" Type="http://schemas.openxmlformats.org/officeDocument/2006/relationships/hyperlink" Target="https://pesquisa.apps.tcu.gov.br/" TargetMode="External"/><Relationship Id="rId26" Type="http://schemas.openxmlformats.org/officeDocument/2006/relationships/hyperlink" Target="https://pesquisa.apps.tcu.gov.br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esquisa.apps.tcu.gov.br/" TargetMode="External"/><Relationship Id="rId7" Type="http://schemas.openxmlformats.org/officeDocument/2006/relationships/hyperlink" Target="https://pesquisa.apps.tcu.gov.br/" TargetMode="External"/><Relationship Id="rId12" Type="http://schemas.openxmlformats.org/officeDocument/2006/relationships/hyperlink" Target="https://pesquisa.apps.tcu.gov.br/" TargetMode="External"/><Relationship Id="rId17" Type="http://schemas.openxmlformats.org/officeDocument/2006/relationships/hyperlink" Target="https://pesquisa.apps.tcu.gov.br/" TargetMode="External"/><Relationship Id="rId25" Type="http://schemas.openxmlformats.org/officeDocument/2006/relationships/hyperlink" Target="https://pesquisa.apps.tcu.gov.b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esquisa.apps.tcu.gov.br/" TargetMode="External"/><Relationship Id="rId20" Type="http://schemas.openxmlformats.org/officeDocument/2006/relationships/hyperlink" Target="https://pesquisa.apps.tcu.gov.br/" TargetMode="External"/><Relationship Id="rId29" Type="http://schemas.openxmlformats.org/officeDocument/2006/relationships/hyperlink" Target="https://pesquisa.apps.tcu.gov.b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esquisa.apps.tcu.gov.br/" TargetMode="External"/><Relationship Id="rId11" Type="http://schemas.openxmlformats.org/officeDocument/2006/relationships/hyperlink" Target="https://pesquisa.apps.tcu.gov.br/" TargetMode="External"/><Relationship Id="rId24" Type="http://schemas.openxmlformats.org/officeDocument/2006/relationships/hyperlink" Target="https://pesquisa.apps.tcu.gov.b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esquisa.apps.tcu.gov.br/" TargetMode="External"/><Relationship Id="rId23" Type="http://schemas.openxmlformats.org/officeDocument/2006/relationships/hyperlink" Target="https://pesquisa.apps.tcu.gov.br/" TargetMode="External"/><Relationship Id="rId28" Type="http://schemas.openxmlformats.org/officeDocument/2006/relationships/hyperlink" Target="https://pesquisa.apps.tcu.gov.br/" TargetMode="External"/><Relationship Id="rId10" Type="http://schemas.openxmlformats.org/officeDocument/2006/relationships/hyperlink" Target="https://pesquisa.apps.tcu.gov.br/" TargetMode="External"/><Relationship Id="rId19" Type="http://schemas.openxmlformats.org/officeDocument/2006/relationships/hyperlink" Target="https://pesquisa.apps.tcu.gov.br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esquisa.apps.tcu.gov.br/" TargetMode="External"/><Relationship Id="rId14" Type="http://schemas.openxmlformats.org/officeDocument/2006/relationships/hyperlink" Target="https://pesquisa.apps.tcu.gov.br/" TargetMode="External"/><Relationship Id="rId22" Type="http://schemas.openxmlformats.org/officeDocument/2006/relationships/hyperlink" Target="https://pesquisa.apps.tcu.gov.br/" TargetMode="External"/><Relationship Id="rId27" Type="http://schemas.openxmlformats.org/officeDocument/2006/relationships/hyperlink" Target="https://pesquisa.apps.tcu.gov.br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2356</Words>
  <Characters>12725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2019-11-05T13:31:00Z</dcterms:created>
  <dcterms:modified xsi:type="dcterms:W3CDTF">2019-11-05T13:31:00Z</dcterms:modified>
</cp:coreProperties>
</file>